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523240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3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3, 2026</w:t>
      </w:r>
    </w:p>
    <w:p>
      <w:pPr>
        <w:spacing w:after="0" w:line="8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FLYWIRE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pacing w:after="0" w:line="83" w:lineRule="exact"/>
        <w:rPr>
          <w:sz w:val="24"/>
          <w:szCs w:val="24"/>
          <w:color w:val="auto"/>
        </w:rPr>
      </w:pPr>
    </w:p>
    <w:tbl>
      <w:tblPr>
        <w:tblLayout w:type="fixed"/>
        <w:tblInd w:w="1340" w:type="dxa"/>
        <w:tblCellMar>
          <w:top w:w="0" w:type="dxa"/>
          <w:left w:w="0" w:type="dxa"/>
          <w:bottom w:w="0" w:type="dxa"/>
          <w:right w:w="0" w:type="dxa"/>
        </w:tblCellMar>
      </w:tblPr>
      <w:tr>
        <w:trPr>
          <w:trHeight w:val="159"/>
        </w:trPr>
        <w:tc>
          <w:tcPr>
            <w:tcW w:w="1840" w:type="dxa"/>
            <w:vAlign w:val="bottom"/>
          </w:tcPr>
          <w:p>
            <w:pPr>
              <w:jc w:val="center"/>
              <w:ind w:right="70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20" w:type="dxa"/>
            <w:vAlign w:val="bottom"/>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w w:val="99"/>
              </w:rPr>
              <w:t>001-40430</w:t>
            </w:r>
          </w:p>
        </w:tc>
        <w:tc>
          <w:tcPr>
            <w:tcW w:w="1600" w:type="dxa"/>
            <w:vAlign w:val="bottom"/>
          </w:tcPr>
          <w:p>
            <w:pPr>
              <w:jc w:val="center"/>
              <w:ind w:left="768"/>
              <w:spacing w:after="0"/>
              <w:rPr>
                <w:sz w:val="20"/>
                <w:szCs w:val="20"/>
                <w:color w:val="auto"/>
              </w:rPr>
            </w:pPr>
            <w:r>
              <w:rPr>
                <w:rFonts w:ascii="Times New Roman" w:cs="Times New Roman" w:eastAsia="Times New Roman" w:hAnsi="Times New Roman"/>
                <w:sz w:val="12"/>
                <w:szCs w:val="12"/>
                <w:b w:val="1"/>
                <w:bCs w:val="1"/>
                <w:color w:val="auto"/>
                <w:w w:val="99"/>
              </w:rPr>
              <w:t>27-0690799</w:t>
            </w:r>
          </w:p>
        </w:tc>
      </w:tr>
      <w:tr>
        <w:trPr>
          <w:trHeight w:val="128"/>
        </w:trPr>
        <w:tc>
          <w:tcPr>
            <w:tcW w:w="1840" w:type="dxa"/>
            <w:vAlign w:val="bottom"/>
          </w:tcPr>
          <w:p>
            <w:pPr>
              <w:jc w:val="center"/>
              <w:ind w:right="708"/>
              <w:spacing w:after="0"/>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50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6"/>
              </w:rPr>
              <w:t>(Commission</w:t>
            </w:r>
          </w:p>
        </w:tc>
        <w:tc>
          <w:tcPr>
            <w:tcW w:w="1600" w:type="dxa"/>
            <w:vAlign w:val="bottom"/>
          </w:tcPr>
          <w:p>
            <w:pPr>
              <w:jc w:val="center"/>
              <w:ind w:left="768"/>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840" w:type="dxa"/>
            <w:vAlign w:val="bottom"/>
          </w:tcPr>
          <w:p>
            <w:pPr>
              <w:jc w:val="center"/>
              <w:ind w:right="68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0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2"/>
              </w:rPr>
              <w:t>File No.)</w:t>
            </w:r>
          </w:p>
        </w:tc>
        <w:tc>
          <w:tcPr>
            <w:tcW w:w="1600" w:type="dxa"/>
            <w:vAlign w:val="bottom"/>
          </w:tcPr>
          <w:p>
            <w:pPr>
              <w:jc w:val="center"/>
              <w:ind w:left="78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99"/>
        </w:trPr>
        <w:tc>
          <w:tcPr>
            <w:tcW w:w="1840" w:type="dxa"/>
            <w:vAlign w:val="bottom"/>
          </w:tcPr>
          <w:p>
            <w:pPr>
              <w:spacing w:after="0"/>
              <w:rPr>
                <w:sz w:val="24"/>
                <w:szCs w:val="24"/>
                <w:color w:val="auto"/>
              </w:rPr>
            </w:pPr>
          </w:p>
        </w:tc>
        <w:tc>
          <w:tcPr>
            <w:tcW w:w="5020" w:type="dxa"/>
            <w:vAlign w:val="bottom"/>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8"/>
              </w:rPr>
              <w:t>141 Tremont St #10</w:t>
            </w:r>
          </w:p>
        </w:tc>
        <w:tc>
          <w:tcPr>
            <w:tcW w:w="1600" w:type="dxa"/>
            <w:vAlign w:val="bottom"/>
          </w:tcPr>
          <w:p>
            <w:pPr>
              <w:spacing w:after="0"/>
              <w:rPr>
                <w:sz w:val="24"/>
                <w:szCs w:val="24"/>
                <w:color w:val="auto"/>
              </w:rPr>
            </w:pPr>
          </w:p>
        </w:tc>
      </w:tr>
      <w:tr>
        <w:trPr>
          <w:trHeight w:val="142"/>
        </w:trPr>
        <w:tc>
          <w:tcPr>
            <w:tcW w:w="1840" w:type="dxa"/>
            <w:vAlign w:val="bottom"/>
          </w:tcPr>
          <w:p>
            <w:pPr>
              <w:spacing w:after="0"/>
              <w:rPr>
                <w:sz w:val="12"/>
                <w:szCs w:val="12"/>
                <w:color w:val="auto"/>
              </w:rPr>
            </w:pPr>
          </w:p>
        </w:tc>
        <w:tc>
          <w:tcPr>
            <w:tcW w:w="5020" w:type="dxa"/>
            <w:vAlign w:val="bottom"/>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7"/>
              </w:rPr>
              <w:t>Boston, MA 02111</w:t>
            </w:r>
          </w:p>
        </w:tc>
        <w:tc>
          <w:tcPr>
            <w:tcW w:w="1600" w:type="dxa"/>
            <w:vAlign w:val="bottom"/>
          </w:tcPr>
          <w:p>
            <w:pPr>
              <w:spacing w:after="0"/>
              <w:rPr>
                <w:sz w:val="12"/>
                <w:szCs w:val="12"/>
                <w:color w:val="auto"/>
              </w:rPr>
            </w:pPr>
          </w:p>
        </w:tc>
      </w:tr>
      <w:tr>
        <w:trPr>
          <w:trHeight w:val="125"/>
        </w:trPr>
        <w:tc>
          <w:tcPr>
            <w:tcW w:w="1840" w:type="dxa"/>
            <w:vAlign w:val="bottom"/>
          </w:tcPr>
          <w:p>
            <w:pPr>
              <w:spacing w:after="0"/>
              <w:rPr>
                <w:sz w:val="10"/>
                <w:szCs w:val="10"/>
                <w:color w:val="auto"/>
              </w:rPr>
            </w:pPr>
          </w:p>
        </w:tc>
        <w:tc>
          <w:tcPr>
            <w:tcW w:w="502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c>
          <w:tcPr>
            <w:tcW w:w="1600" w:type="dxa"/>
            <w:vAlign w:val="bottom"/>
          </w:tcPr>
          <w:p>
            <w:pPr>
              <w:spacing w:after="0"/>
              <w:rPr>
                <w:sz w:val="10"/>
                <w:szCs w:val="10"/>
                <w:color w:val="auto"/>
              </w:rPr>
            </w:pPr>
          </w:p>
        </w:tc>
      </w:tr>
      <w:tr>
        <w:trPr>
          <w:trHeight w:val="224"/>
        </w:trPr>
        <w:tc>
          <w:tcPr>
            <w:tcW w:w="1840" w:type="dxa"/>
            <w:vAlign w:val="bottom"/>
          </w:tcPr>
          <w:p>
            <w:pPr>
              <w:spacing w:after="0"/>
              <w:rPr>
                <w:sz w:val="19"/>
                <w:szCs w:val="19"/>
                <w:color w:val="auto"/>
              </w:rPr>
            </w:pPr>
          </w:p>
        </w:tc>
        <w:tc>
          <w:tcPr>
            <w:tcW w:w="5020" w:type="dxa"/>
            <w:vAlign w:val="bottom"/>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329-4524</w:t>
            </w:r>
          </w:p>
        </w:tc>
        <w:tc>
          <w:tcPr>
            <w:tcW w:w="1600" w:type="dxa"/>
            <w:vAlign w:val="bottom"/>
          </w:tcPr>
          <w:p>
            <w:pPr>
              <w:spacing w:after="0"/>
              <w:rPr>
                <w:sz w:val="19"/>
                <w:szCs w:val="19"/>
                <w:color w:val="auto"/>
              </w:rPr>
            </w:pPr>
          </w:p>
        </w:tc>
      </w:tr>
      <w:tr>
        <w:trPr>
          <w:trHeight w:val="200"/>
        </w:trPr>
        <w:tc>
          <w:tcPr>
            <w:tcW w:w="1840" w:type="dxa"/>
            <w:vAlign w:val="bottom"/>
          </w:tcPr>
          <w:p>
            <w:pPr>
              <w:spacing w:after="0"/>
              <w:rPr>
                <w:sz w:val="17"/>
                <w:szCs w:val="17"/>
                <w:color w:val="auto"/>
              </w:rPr>
            </w:pPr>
          </w:p>
        </w:tc>
        <w:tc>
          <w:tcPr>
            <w:tcW w:w="5020" w:type="dxa"/>
            <w:vAlign w:val="bottom"/>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600" w:type="dxa"/>
            <w:vAlign w:val="bottom"/>
          </w:tcPr>
          <w:p>
            <w:pPr>
              <w:spacing w:after="0"/>
              <w:rPr>
                <w:sz w:val="17"/>
                <w:szCs w:val="17"/>
                <w:color w:val="auto"/>
              </w:rPr>
            </w:pPr>
          </w:p>
        </w:tc>
      </w:tr>
      <w:tr>
        <w:trPr>
          <w:trHeight w:val="114"/>
        </w:trPr>
        <w:tc>
          <w:tcPr>
            <w:tcW w:w="1840" w:type="dxa"/>
            <w:vAlign w:val="bottom"/>
          </w:tcPr>
          <w:p>
            <w:pPr>
              <w:spacing w:after="0"/>
              <w:rPr>
                <w:sz w:val="9"/>
                <w:szCs w:val="9"/>
                <w:color w:val="auto"/>
              </w:rPr>
            </w:pPr>
          </w:p>
        </w:tc>
        <w:tc>
          <w:tcPr>
            <w:tcW w:w="5020" w:type="dxa"/>
            <w:vAlign w:val="bottom"/>
          </w:tcPr>
          <w:p>
            <w:pPr>
              <w:jc w:val="center"/>
              <w:ind w:right="45"/>
              <w:spacing w:after="0" w:line="114" w:lineRule="exact"/>
              <w:rPr>
                <w:sz w:val="20"/>
                <w:szCs w:val="20"/>
                <w:color w:val="auto"/>
              </w:rPr>
            </w:pPr>
            <w:r>
              <w:rPr>
                <w:rFonts w:ascii="Times New Roman" w:cs="Times New Roman" w:eastAsia="Times New Roman" w:hAnsi="Times New Roman"/>
                <w:sz w:val="10"/>
                <w:szCs w:val="10"/>
                <w:b w:val="1"/>
                <w:bCs w:val="1"/>
                <w:color w:val="auto"/>
                <w:w w:val="96"/>
              </w:rPr>
              <w:t>(Former Name or Former Address, if Changed Since Last Report)</w:t>
            </w:r>
          </w:p>
        </w:tc>
        <w:tc>
          <w:tcPr>
            <w:tcW w:w="1600" w:type="dxa"/>
            <w:vAlign w:val="bottom"/>
          </w:tcPr>
          <w:p>
            <w:pPr>
              <w:spacing w:after="0"/>
              <w:rPr>
                <w:sz w:val="9"/>
                <w:szCs w:val="9"/>
                <w:color w:val="auto"/>
              </w:rPr>
            </w:pPr>
          </w:p>
        </w:tc>
      </w:tr>
      <w:tr>
        <w:trPr>
          <w:trHeight w:val="155"/>
        </w:trPr>
        <w:tc>
          <w:tcPr>
            <w:tcW w:w="1840" w:type="dxa"/>
            <w:vAlign w:val="bottom"/>
          </w:tcPr>
          <w:p>
            <w:pPr>
              <w:spacing w:after="0"/>
              <w:rPr>
                <w:sz w:val="13"/>
                <w:szCs w:val="13"/>
                <w:color w:val="auto"/>
              </w:rPr>
            </w:pPr>
          </w:p>
        </w:tc>
        <w:tc>
          <w:tcPr>
            <w:tcW w:w="5020" w:type="dxa"/>
            <w:vAlign w:val="bottom"/>
          </w:tcPr>
          <w:p>
            <w:pPr>
              <w:jc w:val="center"/>
              <w:ind w:right="25"/>
              <w:spacing w:after="0"/>
              <w:rPr>
                <w:sz w:val="20"/>
                <w:szCs w:val="20"/>
                <w:color w:val="auto"/>
              </w:rPr>
            </w:pPr>
            <w:r>
              <w:rPr>
                <w:rFonts w:ascii="Times New Roman" w:cs="Times New Roman" w:eastAsia="Times New Roman" w:hAnsi="Times New Roman"/>
                <w:sz w:val="12"/>
                <w:szCs w:val="12"/>
                <w:color w:val="auto"/>
                <w:w w:val="99"/>
              </w:rPr>
              <w:t>_________________________________________________________</w:t>
            </w:r>
          </w:p>
        </w:tc>
        <w:tc>
          <w:tcPr>
            <w:tcW w:w="1600" w:type="dxa"/>
            <w:vAlign w:val="bottom"/>
          </w:tcPr>
          <w:p>
            <w:pPr>
              <w:spacing w:after="0"/>
              <w:rPr>
                <w:sz w:val="13"/>
                <w:szCs w:val="13"/>
                <w:color w:val="auto"/>
              </w:rPr>
            </w:pPr>
          </w:p>
        </w:tc>
      </w:tr>
    </w:tbl>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720" w:type="dxa"/>
            <w:vAlign w:val="bottom"/>
          </w:tcPr>
          <w:p>
            <w:pPr>
              <w:spacing w:after="0"/>
              <w:rPr>
                <w:sz w:val="10"/>
                <w:szCs w:val="10"/>
                <w:color w:val="auto"/>
              </w:rPr>
            </w:pPr>
          </w:p>
        </w:tc>
        <w:tc>
          <w:tcPr>
            <w:tcW w:w="260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398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43"/>
        </w:trPr>
        <w:tc>
          <w:tcPr>
            <w:tcW w:w="4720" w:type="dxa"/>
            <w:vAlign w:val="bottom"/>
            <w:tcBorders>
              <w:bottom w:val="single" w:sz="8" w:color="auto"/>
            </w:tcBorders>
          </w:tcPr>
          <w:p>
            <w:pPr>
              <w:jc w:val="center"/>
              <w:ind w:left="106"/>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6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398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168"/>
        </w:trPr>
        <w:tc>
          <w:tcPr>
            <w:tcW w:w="4720" w:type="dxa"/>
            <w:vAlign w:val="bottom"/>
          </w:tcPr>
          <w:p>
            <w:pPr>
              <w:jc w:val="center"/>
              <w:ind w:left="86"/>
              <w:spacing w:after="0"/>
              <w:rPr>
                <w:sz w:val="20"/>
                <w:szCs w:val="20"/>
                <w:color w:val="auto"/>
              </w:rPr>
            </w:pPr>
            <w:r>
              <w:rPr>
                <w:rFonts w:ascii="Times New Roman" w:cs="Times New Roman" w:eastAsia="Times New Roman" w:hAnsi="Times New Roman"/>
                <w:sz w:val="12"/>
                <w:szCs w:val="12"/>
                <w:color w:val="auto"/>
                <w:w w:val="99"/>
              </w:rPr>
              <w:t>Voting Common Stock, $0.0001 par value per share</w:t>
            </w:r>
          </w:p>
        </w:tc>
        <w:tc>
          <w:tcPr>
            <w:tcW w:w="2600" w:type="dxa"/>
            <w:vAlign w:val="bottom"/>
          </w:tcPr>
          <w:p>
            <w:pPr>
              <w:jc w:val="center"/>
              <w:ind w:right="8"/>
              <w:spacing w:after="0"/>
              <w:rPr>
                <w:sz w:val="20"/>
                <w:szCs w:val="20"/>
                <w:color w:val="auto"/>
              </w:rPr>
            </w:pPr>
            <w:r>
              <w:rPr>
                <w:rFonts w:ascii="Times New Roman" w:cs="Times New Roman" w:eastAsia="Times New Roman" w:hAnsi="Times New Roman"/>
                <w:sz w:val="12"/>
                <w:szCs w:val="12"/>
                <w:color w:val="auto"/>
                <w:w w:val="99"/>
              </w:rPr>
              <w:t>FLYW</w:t>
            </w:r>
          </w:p>
        </w:tc>
        <w:tc>
          <w:tcPr>
            <w:tcW w:w="3980" w:type="dxa"/>
            <w:vAlign w:val="bottom"/>
          </w:tcPr>
          <w:p>
            <w:pPr>
              <w:jc w:val="center"/>
              <w:ind w:right="166"/>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80"/>
        </w:trPr>
        <w:tc>
          <w:tcPr>
            <w:tcW w:w="47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980" w:type="dxa"/>
            <w:vAlign w:val="bottom"/>
          </w:tcPr>
          <w:p>
            <w:pPr>
              <w:jc w:val="center"/>
              <w:ind w:right="146"/>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33" w:lineRule="exact"/>
        <w:rPr>
          <w:sz w:val="24"/>
          <w:szCs w:val="24"/>
          <w:color w:val="auto"/>
        </w:rPr>
      </w:pPr>
    </w:p>
    <w:p>
      <w:pPr>
        <w:ind w:right="180"/>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7"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502285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89" w:right="299" w:bottom="1440" w:gutter="0" w:footer="0" w:header="0"/>
        </w:sectPr>
      </w:pPr>
    </w:p>
    <w:bookmarkStart w:id="1" w:name="page2"/>
    <w:bookmarkEnd w:id="1"/>
    <w:p>
      <w:pPr>
        <w:spacing w:after="0"/>
        <w:tabs>
          <w:tab w:leader="none" w:pos="1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6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On November 3, 2026, Flywire Corporation (“Flywire” or the “Company”) issued a press release (the “Press Release”) and is holding a conference call regarding its preliminary and unaudited financial results for the quarter ended September 30, 2026. The Press Release is furnished as Exhibit 99.1 to this Current Report on Form 8-K and is incorporated by reference herein.</w:t>
      </w:r>
    </w:p>
    <w:p>
      <w:pPr>
        <w:spacing w:after="0" w:line="1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estimates of market opportunity and our ability to capture a meaningful share of this payment volume may prove to be inaccurate; recent and future acquisitions or investments in complementary companies, products, services, or technologies; uncertainties associated with the timing and scope of future repurchases by Flywire of its common stock under its repurchase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and business-to-business sector; Flywire’s expectations regarding anticipated technology needs and developments and its ability to address those needs and developments with its solutions; Flywire’s use of artificial intelligence may result in operational challenges, legal liability, reputational harm, competitive risks and enhanced regulatory and fraud concerns;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ongoing hostilities in Ukraine and involving Israel, Hamas, the U.S.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2025 and Quarterly Report on Form 10-Q for the quarter ended June 30, 2026, which are on file with the Securities and Exchange Commission (SEC) and available on the SEC’s website at https://www.sec.gov/. Additional factors may be described in those sections of Flywire’s Quarterly Report on Form 10-Q for the quarter ended September 30, 2026, expected to be filed in the fourth quarter of 2026. The information conveyed on the conference call is provided only as of the date of the conference call, and Flywire undertakes no obligation to update any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377825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color w:val="auto"/>
        </w:rPr>
        <w:t>statements presented during the conference call on account of new information, future events, or otherwise, except as required by law.</w:t>
      </w:r>
    </w:p>
    <w:p>
      <w:pPr>
        <w:spacing w:after="0" w:line="38" w:lineRule="exact"/>
        <w:rPr>
          <w:sz w:val="20"/>
          <w:szCs w:val="20"/>
          <w:color w:val="auto"/>
        </w:rPr>
      </w:pPr>
    </w:p>
    <w:p>
      <w:pPr>
        <w:ind w:left="8"/>
        <w:spacing w:after="0"/>
        <w:tabs>
          <w:tab w:leader="none" w:pos="1588"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2"/>
          <w:szCs w:val="12"/>
          <w:b w:val="1"/>
          <w:bCs w:val="1"/>
          <w:color w:val="auto"/>
        </w:rPr>
        <w:t>Departure of Directors or Certain Officers; Election of Directors; Appointment of Certain Officers; Compensatory Arrangements of Certain Officers.</w:t>
      </w:r>
    </w:p>
    <w:p>
      <w:pPr>
        <w:spacing w:after="0" w:line="163" w:lineRule="exact"/>
        <w:rPr>
          <w:sz w:val="20"/>
          <w:szCs w:val="20"/>
          <w:color w:val="auto"/>
        </w:rPr>
      </w:pPr>
    </w:p>
    <w:p>
      <w:pPr>
        <w:ind w:left="8" w:right="120" w:hanging="8"/>
        <w:spacing w:after="0" w:line="265" w:lineRule="auto"/>
        <w:tabs>
          <w:tab w:leader="none" w:pos="17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29, 2026, Alex Finkelstein (“Mr. Finkelstein”) informed the Board of Directors (the “Board”) of Flywire that he was resigning as a member of the Board effective immediately. Prior to his resignation Mr. Finkelstein served on the Audit Committee of the Board. Mr. Finkelstein’s resignation was not due to any dispute or disagreement with Flywire or any matter related to its operations, policies or practices. In connection with the resignation of Mr. Finkelstein, pursuant to Flywire’s bylaws and certificate of incorporation the Board has decreased the number of directors from ten to nine.</w:t>
      </w:r>
    </w:p>
    <w:p>
      <w:pPr>
        <w:spacing w:after="0" w:line="169" w:lineRule="exact"/>
        <w:rPr>
          <w:sz w:val="20"/>
          <w:szCs w:val="20"/>
          <w:color w:val="auto"/>
        </w:rPr>
      </w:pPr>
    </w:p>
    <w:p>
      <w:pPr>
        <w:ind w:left="8"/>
        <w:spacing w:after="0"/>
        <w:tabs>
          <w:tab w:leader="none" w:pos="1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On November 3, 2026,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29" w:lineRule="exact"/>
        <w:rPr>
          <w:sz w:val="20"/>
          <w:szCs w:val="20"/>
          <w:color w:val="auto"/>
        </w:rPr>
      </w:pPr>
    </w:p>
    <w:p>
      <w:pPr>
        <w:ind w:left="8" w:right="360"/>
        <w:spacing w:after="0" w:line="278" w:lineRule="auto"/>
        <w:rPr>
          <w:sz w:val="20"/>
          <w:szCs w:val="20"/>
          <w:color w:val="auto"/>
        </w:rPr>
      </w:pPr>
      <w:r>
        <w:rPr>
          <w:rFonts w:ascii="Times New Roman" w:cs="Times New Roman" w:eastAsia="Times New Roman" w:hAnsi="Times New Roman"/>
          <w:sz w:val="12"/>
          <w:szCs w:val="12"/>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tbl>
      <w:tblPr>
        <w:tblLayout w:type="fixed"/>
        <w:tblInd w:w="8" w:type="dxa"/>
        <w:tblCellMar>
          <w:top w:w="0" w:type="dxa"/>
          <w:left w:w="0" w:type="dxa"/>
          <w:bottom w:w="0" w:type="dxa"/>
          <w:right w:w="0" w:type="dxa"/>
        </w:tblCellMar>
      </w:tblPr>
      <w:tr>
        <w:trPr>
          <w:trHeight w:val="159"/>
        </w:trPr>
        <w:tc>
          <w:tcPr>
            <w:tcW w:w="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00" w:type="dxa"/>
            <w:vAlign w:val="bottom"/>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271"/>
        </w:trPr>
        <w:tc>
          <w:tcPr>
            <w:tcW w:w="7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10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2"/>
        </w:trPr>
        <w:tc>
          <w:tcPr>
            <w:tcW w:w="7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99.1</w:t>
            </w:r>
          </w:p>
        </w:tc>
        <w:tc>
          <w:tcPr>
            <w:tcW w:w="106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color w:val="0000FF"/>
              </w:rPr>
              <w:t>Flywire Corporation Press Release dated November 3, 2026</w:t>
            </w:r>
            <w:r>
              <w:rPr>
                <w:rFonts w:ascii="Times New Roman" w:cs="Times New Roman" w:eastAsia="Times New Roman" w:hAnsi="Times New Roman"/>
                <w:sz w:val="12"/>
                <w:szCs w:val="12"/>
                <w:color w:val="000000"/>
              </w:rPr>
              <w:t>.</w:t>
            </w:r>
          </w:p>
        </w:tc>
      </w:tr>
      <w:tr>
        <w:trPr>
          <w:trHeight w:val="20"/>
        </w:trPr>
        <w:tc>
          <w:tcPr>
            <w:tcW w:w="7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69"/>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6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Flywire Corporation Investor Presentation dated November 3, 2026.</w:t>
            </w:r>
          </w:p>
        </w:tc>
      </w:tr>
      <w:tr>
        <w:trPr>
          <w:trHeight w:val="20"/>
        </w:trPr>
        <w:tc>
          <w:tcPr>
            <w:tcW w:w="70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8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01"/>
        </w:trPr>
        <w:tc>
          <w:tcPr>
            <w:tcW w:w="7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69" w:right="2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FLYWIRE CORPORATION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Cosmin Pitigoi</w:t>
            </w:r>
          </w:p>
        </w:tc>
      </w:t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Cosmin Pitigoi</w:t>
            </w: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3, 2026</w:t>
      </w:r>
    </w:p>
    <w:p>
      <w:pPr>
        <w:sectPr>
          <w:pgSz w:w="11900" w:h="16838" w:orient="portrait"/>
          <w:cols w:equalWidth="0" w:num="1">
            <w:col w:w="10159"/>
          </w:cols>
          <w:pgMar w:left="300" w:top="6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Flywire Reports Third Quarter 2026 Financial Results</w:t>
      </w:r>
    </w:p>
    <w:p>
      <w:pPr>
        <w:spacing w:after="0" w:line="24" w:lineRule="exact"/>
        <w:rPr>
          <w:sz w:val="20"/>
          <w:szCs w:val="20"/>
          <w:color w:val="auto"/>
        </w:rPr>
      </w:pPr>
    </w:p>
    <w:p>
      <w:pPr>
        <w:ind w:left="3840"/>
        <w:spacing w:after="0"/>
        <w:rPr>
          <w:sz w:val="20"/>
          <w:szCs w:val="20"/>
          <w:color w:val="auto"/>
        </w:rPr>
      </w:pPr>
      <w:r>
        <w:rPr>
          <w:rFonts w:ascii="Arial" w:cs="Arial" w:eastAsia="Arial" w:hAnsi="Arial"/>
          <w:sz w:val="14"/>
          <w:szCs w:val="14"/>
          <w:i w:val="1"/>
          <w:iCs w:val="1"/>
          <w:color w:val="auto"/>
        </w:rPr>
        <w:t>Third Quarter Revenue Increased 25.1% Year-over-Year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Third Quarter Revenue Less Ancillary Services Increased 26.0% Year-over-Year</w:t>
      </w:r>
    </w:p>
    <w:p>
      <w:pPr>
        <w:spacing w:after="0" w:line="181" w:lineRule="exact"/>
        <w:rPr>
          <w:sz w:val="20"/>
          <w:szCs w:val="20"/>
          <w:color w:val="auto"/>
        </w:rPr>
      </w:pPr>
    </w:p>
    <w:p>
      <w:pPr>
        <w:jc w:val="center"/>
        <w:ind w:right="20"/>
        <w:spacing w:after="0" w:line="295" w:lineRule="auto"/>
        <w:rPr>
          <w:sz w:val="20"/>
          <w:szCs w:val="20"/>
          <w:color w:val="auto"/>
        </w:rPr>
      </w:pPr>
      <w:r>
        <w:rPr>
          <w:rFonts w:ascii="Arial" w:cs="Arial" w:eastAsia="Arial" w:hAnsi="Arial"/>
          <w:sz w:val="14"/>
          <w:szCs w:val="14"/>
          <w:i w:val="1"/>
          <w:iCs w:val="1"/>
          <w:color w:val="auto"/>
        </w:rPr>
        <w:t>Previous Fiscal Year 2026 FX-Neutral Revenue Less Ancillary Services growth guidance raised by 2 pts at midpoint, Adjusted EBITDA margin growth guidance raised by 30 bps at midpoint</w:t>
      </w:r>
    </w:p>
    <w:p>
      <w:pPr>
        <w:spacing w:after="0" w:line="88" w:lineRule="exact"/>
        <w:rPr>
          <w:sz w:val="20"/>
          <w:szCs w:val="20"/>
          <w:color w:val="auto"/>
        </w:rPr>
      </w:pPr>
    </w:p>
    <w:p>
      <w:pPr>
        <w:ind w:right="300"/>
        <w:spacing w:after="0" w:line="298" w:lineRule="auto"/>
        <w:rPr>
          <w:sz w:val="20"/>
          <w:szCs w:val="20"/>
          <w:color w:val="auto"/>
        </w:rPr>
      </w:pPr>
      <w:r>
        <w:rPr>
          <w:rFonts w:ascii="Arial" w:cs="Arial" w:eastAsia="Arial" w:hAnsi="Arial"/>
          <w:sz w:val="14"/>
          <w:szCs w:val="14"/>
          <w:b w:val="1"/>
          <w:bCs w:val="1"/>
          <w:color w:val="auto"/>
        </w:rPr>
        <w:t xml:space="preserve">Boston, MA – November 3, 2026: </w:t>
      </w:r>
      <w:r>
        <w:rPr>
          <w:rFonts w:ascii="Arial" w:cs="Arial" w:eastAsia="Arial" w:hAnsi="Arial"/>
          <w:sz w:val="14"/>
          <w:szCs w:val="14"/>
          <w:u w:val="single" w:color="auto"/>
          <w:color w:val="0000FF"/>
        </w:rPr>
        <w:t>Flywire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(Nasdaq: FLYW) (“Flywire” or the “Company”), a global payments enablement and software company, today reported</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results for its Third quarter ended September 30, 2026.</w:t>
      </w:r>
    </w:p>
    <w:p>
      <w:pPr>
        <w:spacing w:after="0" w:line="88"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i w:val="1"/>
          <w:iCs w:val="1"/>
          <w:color w:val="auto"/>
        </w:rPr>
        <w:t>“Q3 showed the sustainability of our growth. Through our seasonal education peak, we delivered strong top-line growth with disciplined execution across all four verticals. The financial profile reflects it: expanding adjusted EBITDA margins, and more profit and free cash flow than at any point in our history. That gives us real choices, and the best returns we see today are in our own business: deepening our competitive moat, gaining share and solving complex, high-friction financial workflows around the world</w:t>
      </w:r>
      <w:r>
        <w:rPr>
          <w:rFonts w:ascii="Arial" w:cs="Arial" w:eastAsia="Arial" w:hAnsi="Arial"/>
          <w:sz w:val="14"/>
          <w:szCs w:val="14"/>
          <w:color w:val="auto"/>
        </w:rPr>
        <w:t>," said Mike</w:t>
      </w:r>
      <w:r>
        <w:rPr>
          <w:rFonts w:ascii="Arial" w:cs="Arial" w:eastAsia="Arial" w:hAnsi="Arial"/>
          <w:sz w:val="14"/>
          <w:szCs w:val="14"/>
          <w:i w:val="1"/>
          <w:iCs w:val="1"/>
          <w:color w:val="auto"/>
        </w:rPr>
        <w:t xml:space="preserve"> </w:t>
      </w:r>
      <w:r>
        <w:rPr>
          <w:rFonts w:ascii="Arial" w:cs="Arial" w:eastAsia="Arial" w:hAnsi="Arial"/>
          <w:sz w:val="14"/>
          <w:szCs w:val="14"/>
          <w:color w:val="auto"/>
        </w:rPr>
        <w:t>Massaro, Flywire’s CEO.</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2026 Financial Highlights: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GAAP Results</w:t>
      </w:r>
    </w:p>
    <w:p>
      <w:pPr>
        <w:spacing w:after="0" w:line="154"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Revenue increased 25.1% to $250.3 million in the Third quarter of 2026, compared to $200.1 million in the Third quarter of 2025.</w:t>
      </w:r>
    </w:p>
    <w:p>
      <w:pPr>
        <w:spacing w:after="0" w:line="91" w:lineRule="exact"/>
        <w:rPr>
          <w:rFonts w:ascii="Arial" w:cs="Arial" w:eastAsia="Arial" w:hAnsi="Arial"/>
          <w:sz w:val="14"/>
          <w:szCs w:val="14"/>
          <w:color w:val="auto"/>
        </w:rPr>
      </w:pPr>
    </w:p>
    <w:p>
      <w:pPr>
        <w:ind w:left="420" w:right="100" w:hanging="212"/>
        <w:spacing w:after="0" w:line="298" w:lineRule="auto"/>
        <w:tabs>
          <w:tab w:leader="none" w:pos="417" w:val="left"/>
        </w:tabs>
        <w:numPr>
          <w:ilvl w:val="0"/>
          <w:numId w:val="3"/>
        </w:numPr>
        <w:rPr>
          <w:rFonts w:ascii="Arial" w:cs="Arial" w:eastAsia="Arial" w:hAnsi="Arial"/>
          <w:sz w:val="14"/>
          <w:szCs w:val="14"/>
          <w:color w:val="auto"/>
        </w:rPr>
      </w:pPr>
      <w:r>
        <w:rPr>
          <w:rFonts w:ascii="Arial" w:cs="Arial" w:eastAsia="Arial" w:hAnsi="Arial"/>
          <w:sz w:val="14"/>
          <w:szCs w:val="14"/>
          <w:color w:val="auto"/>
        </w:rPr>
        <w:t>Gross Profit increased to $152.7 million, resulting in Gross Margin of 61.0%, for the Third quarter of 2026, compared to Gross Profit of $124.7 million and Gross Margin of 62.3% in the Third quarter of 2025.</w:t>
      </w:r>
    </w:p>
    <w:p>
      <w:pPr>
        <w:spacing w:after="0" w:line="14" w:lineRule="exact"/>
        <w:rPr>
          <w:rFonts w:ascii="Arial" w:cs="Arial" w:eastAsia="Arial" w:hAnsi="Arial"/>
          <w:sz w:val="14"/>
          <w:szCs w:val="14"/>
          <w:color w:val="auto"/>
        </w:rPr>
      </w:pPr>
    </w:p>
    <w:p>
      <w:pPr>
        <w:ind w:left="420" w:right="40" w:hanging="212"/>
        <w:spacing w:after="0" w:line="271" w:lineRule="auto"/>
        <w:tabs>
          <w:tab w:leader="none" w:pos="417"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was $74.5 million in the Third quarter of 2026, compared to net income of $29.6 million in the Third quarter of 2025. Third quarter 2026 net income reflects a non-cash income tax benefit of approximately $39.2 million from the release of the valuation allowance against the Company's U.S. deferred tax assets. The main driver in the $22.2 million Q3 income tax benefit is $27 million of Q3 discrete items (the largest being release of the U.S. valuation allowance of $25.2 million) offset by non-U.S. foreign tax expense. The Company does not expect a benefit of this nature or size to recur in future periods, and third quarter 2026 net income is not indicative of future results.</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Key Operating Metrics and Non-GAAP Results</w:t>
      </w:r>
    </w:p>
    <w:p>
      <w:pPr>
        <w:spacing w:after="0" w:line="172"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auto"/>
        </w:rPr>
        <w:t>●</w:t>
        <w:tab/>
        <w:t>Total Payment Volume increased 27.7% to $17.8 billion in the Third quarter of 2026, compared to $13.9 billion in the Third quarter of 2025.</w:t>
      </w:r>
    </w:p>
    <w:p>
      <w:pPr>
        <w:sectPr>
          <w:pgSz w:w="11900" w:h="16838" w:orient="portrait"/>
          <w:cols w:equalWidth="0" w:num="1">
            <w:col w:w="11300"/>
          </w:cols>
          <w:pgMar w:left="300" w:top="130" w:right="299" w:bottom="1440" w:gutter="0" w:footer="0" w:header="0"/>
        </w:sectPr>
      </w:pPr>
    </w:p>
    <w:bookmarkStart w:id="5" w:name="page6"/>
    <w:bookmarkEnd w:id="5"/>
    <w:p>
      <w:pPr>
        <w:ind w:left="420" w:right="420" w:hanging="212"/>
        <w:spacing w:after="0" w:line="298" w:lineRule="auto"/>
        <w:tabs>
          <w:tab w:leader="none" w:pos="41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 Less Ancillary Services increased 26.0% to $244.5 million in the Third quarter of 2026, compared to $194.1 million in the Third quarter of 2025. FX-Neutral Revenue Less Ancillary Services increased 26.0% year-over-year.</w:t>
      </w:r>
    </w:p>
    <w:p>
      <w:pPr>
        <w:spacing w:after="0" w:line="14" w:lineRule="exact"/>
        <w:rPr>
          <w:rFonts w:ascii="Arial" w:cs="Arial" w:eastAsia="Arial" w:hAnsi="Arial"/>
          <w:sz w:val="14"/>
          <w:szCs w:val="14"/>
          <w:color w:val="auto"/>
        </w:rPr>
      </w:pPr>
    </w:p>
    <w:p>
      <w:pPr>
        <w:ind w:left="420" w:right="460" w:hanging="212"/>
        <w:spacing w:after="0" w:line="312" w:lineRule="auto"/>
        <w:tabs>
          <w:tab w:leader="none" w:pos="417"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Gross Profit increased to $155.8 million, up 22.2% compared to $127.5 million in the Third quarter of 2025. Adjusted Gross Margin was 63.7% in the Third quarter of 2026 compared to 65.7% in the Third quarter of 2025.</w:t>
      </w:r>
    </w:p>
    <w:p>
      <w:pPr>
        <w:spacing w:after="0" w:line="4" w:lineRule="exact"/>
        <w:rPr>
          <w:rFonts w:ascii="Arial" w:cs="Arial" w:eastAsia="Arial" w:hAnsi="Arial"/>
          <w:sz w:val="14"/>
          <w:szCs w:val="14"/>
          <w:color w:val="auto"/>
        </w:rPr>
      </w:pPr>
    </w:p>
    <w:p>
      <w:pPr>
        <w:ind w:left="420" w:hanging="212"/>
        <w:spacing w:after="0" w:line="298" w:lineRule="auto"/>
        <w:tabs>
          <w:tab w:leader="none" w:pos="417"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increased 39.2% to $79.5 million in the Third quarter of 2026, compared to $57.1 million in the Third quarter of 2025. Adjusted EBITDA margin increased by approximately 310 bps year-over-year to 32.5% in the Third quarter of 2026.</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2026 Key Business Performance highlights: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Highlights</w:t>
      </w:r>
    </w:p>
    <w:p>
      <w:pPr>
        <w:spacing w:after="0" w:line="154" w:lineRule="exact"/>
        <w:rPr>
          <w:sz w:val="20"/>
          <w:szCs w:val="20"/>
          <w:color w:val="auto"/>
        </w:rPr>
      </w:pPr>
    </w:p>
    <w:p>
      <w:pPr>
        <w:ind w:left="420" w:right="140" w:hanging="212"/>
        <w:spacing w:after="0" w:line="276" w:lineRule="auto"/>
        <w:tabs>
          <w:tab w:leader="none" w:pos="414"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Strategic Enterprise Wins &amp; SFS Expansion: </w:t>
      </w:r>
      <w:r>
        <w:rPr>
          <w:rFonts w:ascii="Arial" w:cs="Arial" w:eastAsia="Arial" w:hAnsi="Arial"/>
          <w:sz w:val="14"/>
          <w:szCs w:val="14"/>
          <w:color w:val="auto"/>
        </w:rPr>
        <w:t>Expansion of our Student Financial Software (SFS) in the U.S. and U.K. continues our shift toward larger, more strategic</w:t>
      </w:r>
      <w:r>
        <w:rPr>
          <w:rFonts w:ascii="Arial" w:cs="Arial" w:eastAsia="Arial" w:hAnsi="Arial"/>
          <w:sz w:val="14"/>
          <w:szCs w:val="14"/>
          <w:b w:val="1"/>
          <w:bCs w:val="1"/>
          <w:color w:val="auto"/>
        </w:rPr>
        <w:t xml:space="preserve"> </w:t>
      </w:r>
      <w:r>
        <w:rPr>
          <w:rFonts w:ascii="Arial" w:cs="Arial" w:eastAsia="Arial" w:hAnsi="Arial"/>
          <w:sz w:val="14"/>
          <w:szCs w:val="14"/>
          <w:color w:val="auto"/>
        </w:rPr>
        <w:t>engagements. In the quarter, we signed SFS agreements with three prominent U.S. universities and one U.K. institution. At our third annual client conference for U.S. institutions, we announced that more than 1 million payment plans have been activated since inception by students at US institutions using SFS.</w:t>
      </w:r>
    </w:p>
    <w:p>
      <w:pPr>
        <w:spacing w:after="0" w:line="29" w:lineRule="exact"/>
        <w:rPr>
          <w:rFonts w:ascii="Arial" w:cs="Arial" w:eastAsia="Arial" w:hAnsi="Arial"/>
          <w:sz w:val="14"/>
          <w:szCs w:val="14"/>
          <w:color w:val="auto"/>
        </w:rPr>
      </w:pPr>
    </w:p>
    <w:p>
      <w:pPr>
        <w:ind w:left="420" w:right="340" w:hanging="212"/>
        <w:spacing w:after="0" w:line="312" w:lineRule="auto"/>
        <w:tabs>
          <w:tab w:leader="none" w:pos="414"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Strong Deal Velocity &amp; Geographic Diversification: </w:t>
      </w:r>
      <w:r>
        <w:rPr>
          <w:rFonts w:ascii="Arial" w:cs="Arial" w:eastAsia="Arial" w:hAnsi="Arial"/>
          <w:sz w:val="14"/>
          <w:szCs w:val="14"/>
          <w:color w:val="auto"/>
        </w:rPr>
        <w:t>This quarter we signed approximately 180 new clients across 31 countries and all four verticals, with our go-to-market teams deliberately prioritizing larger, higher-ARR enterprise relationships.</w:t>
      </w:r>
    </w:p>
    <w:p>
      <w:pPr>
        <w:spacing w:after="0" w:line="4" w:lineRule="exact"/>
        <w:rPr>
          <w:rFonts w:ascii="Arial" w:cs="Arial" w:eastAsia="Arial" w:hAnsi="Arial"/>
          <w:sz w:val="14"/>
          <w:szCs w:val="14"/>
          <w:color w:val="auto"/>
        </w:rPr>
      </w:pPr>
    </w:p>
    <w:p>
      <w:pPr>
        <w:ind w:left="420" w:right="180" w:hanging="212"/>
        <w:spacing w:after="0" w:line="298" w:lineRule="auto"/>
        <w:tabs>
          <w:tab w:leader="none" w:pos="414"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International Momentum in Travel: </w:t>
      </w:r>
      <w:r>
        <w:rPr>
          <w:rFonts w:ascii="Arial" w:cs="Arial" w:eastAsia="Arial" w:hAnsi="Arial"/>
          <w:sz w:val="14"/>
          <w:szCs w:val="14"/>
          <w:color w:val="auto"/>
        </w:rPr>
        <w:t>Flywire’s Hospitality business continued to gain traction across APAC, including a pilot with Langham Hospitality Group and further</w:t>
      </w:r>
      <w:r>
        <w:rPr>
          <w:rFonts w:ascii="Arial" w:cs="Arial" w:eastAsia="Arial" w:hAnsi="Arial"/>
          <w:sz w:val="14"/>
          <w:szCs w:val="14"/>
          <w:b w:val="1"/>
          <w:bCs w:val="1"/>
          <w:color w:val="auto"/>
        </w:rPr>
        <w:t xml:space="preserve"> </w:t>
      </w:r>
      <w:r>
        <w:rPr>
          <w:rFonts w:ascii="Arial" w:cs="Arial" w:eastAsia="Arial" w:hAnsi="Arial"/>
          <w:sz w:val="14"/>
          <w:szCs w:val="14"/>
          <w:color w:val="auto"/>
        </w:rPr>
        <w:t>expansion in Australia. In EMEA, secured approval for a 24-property rollout with Kingfisher following a successful pilot, and won 23 Marriott Sign &amp; Pay deals.</w:t>
      </w:r>
    </w:p>
    <w:p>
      <w:pPr>
        <w:spacing w:after="0" w:line="14" w:lineRule="exact"/>
        <w:rPr>
          <w:rFonts w:ascii="Arial" w:cs="Arial" w:eastAsia="Arial" w:hAnsi="Arial"/>
          <w:sz w:val="14"/>
          <w:szCs w:val="14"/>
          <w:color w:val="auto"/>
        </w:rPr>
      </w:pPr>
    </w:p>
    <w:p>
      <w:pPr>
        <w:ind w:left="420" w:right="340" w:hanging="212"/>
        <w:spacing w:after="0" w:line="298" w:lineRule="auto"/>
        <w:tabs>
          <w:tab w:leader="none" w:pos="414"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B2B Enterprise Scaling: </w:t>
      </w:r>
      <w:r>
        <w:rPr>
          <w:rFonts w:ascii="Arial" w:cs="Arial" w:eastAsia="Arial" w:hAnsi="Arial"/>
          <w:sz w:val="14"/>
          <w:szCs w:val="14"/>
          <w:color w:val="auto"/>
        </w:rPr>
        <w:t>Major B2B wins such as Liquidity Services Inc. deploying Flywire to power domestic and cross-border payments for its $1.5 billion global e-commerce marketplace.</w:t>
      </w:r>
    </w:p>
    <w:p>
      <w:pPr>
        <w:spacing w:after="0" w:line="14"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Healthcare Expansion: </w:t>
      </w:r>
      <w:r>
        <w:rPr>
          <w:rFonts w:ascii="Arial" w:cs="Arial" w:eastAsia="Arial" w:hAnsi="Arial"/>
          <w:sz w:val="14"/>
          <w:szCs w:val="14"/>
          <w:color w:val="auto"/>
        </w:rPr>
        <w:t>Completed key upsells, including a major one with Endeavor Health for our Integrated Financing solution.</w:t>
      </w:r>
    </w:p>
    <w:p>
      <w:pPr>
        <w:spacing w:after="0" w:line="91"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Asset acquisition </w:t>
      </w:r>
      <w:r>
        <w:rPr>
          <w:rFonts w:ascii="Arial" w:cs="Arial" w:eastAsia="Arial" w:hAnsi="Arial"/>
          <w:sz w:val="14"/>
          <w:szCs w:val="14"/>
          <w:color w:val="auto"/>
        </w:rPr>
        <w:t>of customer relationships in Canada to transition a portfolio of higher education institutions to Flywire.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&amp; Partner Highlights</w:t>
      </w:r>
    </w:p>
    <w:p>
      <w:pPr>
        <w:spacing w:after="0" w:line="154" w:lineRule="exact"/>
        <w:rPr>
          <w:sz w:val="20"/>
          <w:szCs w:val="20"/>
          <w:color w:val="auto"/>
        </w:rPr>
      </w:pPr>
    </w:p>
    <w:p>
      <w:pPr>
        <w:ind w:left="420" w:right="100" w:hanging="212"/>
        <w:spacing w:after="0" w:line="289" w:lineRule="auto"/>
        <w:tabs>
          <w:tab w:leader="none" w:pos="417" w:val="left"/>
        </w:tabs>
        <w:numPr>
          <w:ilvl w:val="0"/>
          <w:numId w:val="6"/>
        </w:numPr>
        <w:rPr>
          <w:rFonts w:ascii="Arial" w:cs="Arial" w:eastAsia="Arial" w:hAnsi="Arial"/>
          <w:sz w:val="14"/>
          <w:szCs w:val="14"/>
          <w:color w:val="auto"/>
        </w:rPr>
      </w:pPr>
      <w:r>
        <w:rPr>
          <w:rFonts w:ascii="Arial" w:cs="Arial" w:eastAsia="Arial" w:hAnsi="Arial"/>
          <w:sz w:val="14"/>
          <w:szCs w:val="14"/>
          <w:color w:val="auto"/>
        </w:rPr>
        <w:t>Global Payment Network Expansion: Expanded and continued to optimize our global payment network to deliver stronger local payment experiences across markets and verticals. We added new local payment options in China, Japan and Türkiye. In China, we saw strong momentum with UnionPay, ran new promotions through Bank of China,</w:t>
      </w:r>
    </w:p>
    <w:p>
      <w:pPr>
        <w:sectPr>
          <w:pgSz w:w="11900" w:h="16838" w:orient="portrait"/>
          <w:cols w:equalWidth="0" w:num="1">
            <w:col w:w="11280"/>
          </w:cols>
          <w:pgMar w:left="300" w:top="994" w:right="319" w:bottom="1440" w:gutter="0" w:footer="0" w:header="0"/>
        </w:sectPr>
      </w:pPr>
    </w:p>
    <w:bookmarkStart w:id="6" w:name="page7"/>
    <w:bookmarkEnd w:id="6"/>
    <w:p>
      <w:pPr>
        <w:ind w:left="420"/>
        <w:spacing w:after="0" w:line="289" w:lineRule="auto"/>
        <w:rPr>
          <w:sz w:val="20"/>
          <w:szCs w:val="20"/>
          <w:color w:val="auto"/>
        </w:rPr>
      </w:pPr>
      <w:r>
        <w:rPr>
          <w:rFonts w:ascii="Arial" w:cs="Arial" w:eastAsia="Arial" w:hAnsi="Arial"/>
          <w:sz w:val="14"/>
          <w:szCs w:val="14"/>
          <w:color w:val="auto"/>
        </w:rPr>
        <w:t>and we deepened our partnership with Antom, a merchant payment and digitisation services provider under Ant International, to enable Alipay payments beyond education into cross-border travel.In India, we launched real-time payment confirmations, so families making high-value tuition payments can see instantly that their money has arrived.</w:t>
      </w:r>
    </w:p>
    <w:p>
      <w:pPr>
        <w:spacing w:after="0" w:line="206" w:lineRule="exact"/>
        <w:rPr>
          <w:sz w:val="20"/>
          <w:szCs w:val="20"/>
          <w:color w:val="auto"/>
        </w:rPr>
      </w:pPr>
    </w:p>
    <w:p>
      <w:pPr>
        <w:ind w:left="420" w:right="280" w:hanging="212"/>
        <w:spacing w:after="0" w:line="276" w:lineRule="auto"/>
        <w:tabs>
          <w:tab w:leader="none" w:pos="417" w:val="left"/>
        </w:tabs>
        <w:numPr>
          <w:ilvl w:val="0"/>
          <w:numId w:val="7"/>
        </w:numPr>
        <w:rPr>
          <w:rFonts w:ascii="Arial" w:cs="Arial" w:eastAsia="Arial" w:hAnsi="Arial"/>
          <w:sz w:val="14"/>
          <w:szCs w:val="14"/>
          <w:color w:val="auto"/>
        </w:rPr>
      </w:pPr>
      <w:r>
        <w:rPr>
          <w:rFonts w:ascii="Arial" w:cs="Arial" w:eastAsia="Arial" w:hAnsi="Arial"/>
          <w:sz w:val="14"/>
          <w:szCs w:val="14"/>
          <w:color w:val="auto"/>
        </w:rPr>
        <w:t>Strategic Student Accommodations Partnership: Became the Global Preferred Payment Partner for Kinetic Software, a leading technology provider to higher education and student accommodation operators in more than 20 countries. Kinetic manages over 700,000 student bedrooms and is trusted by more than 80% of top U.K. universities. The partnership gives Flywire a scaled channel into global education and student housing payments.</w:t>
      </w:r>
    </w:p>
    <w:p>
      <w:pPr>
        <w:spacing w:after="0" w:line="29" w:lineRule="exact"/>
        <w:rPr>
          <w:rFonts w:ascii="Arial" w:cs="Arial" w:eastAsia="Arial" w:hAnsi="Arial"/>
          <w:sz w:val="14"/>
          <w:szCs w:val="14"/>
          <w:color w:val="auto"/>
        </w:rPr>
      </w:pPr>
    </w:p>
    <w:p>
      <w:pPr>
        <w:ind w:left="420" w:right="100" w:hanging="212"/>
        <w:spacing w:after="0" w:line="283" w:lineRule="auto"/>
        <w:tabs>
          <w:tab w:leader="none" w:pos="41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Invoiced Industry Recognition for Invoice To Cash Solution: Named a Leader in Nucleus Research’s 2026 Accounts Receivable Technology Value Matrix. The report cited how Invoiced combines automated invoice-to-cash software and multi-agent AI (CashMatch AI and Smart Chasing) with Flywire’s proprietary global payment network, which spans more than 140 currencies and over 240 countries and territories.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Guidance</w:t>
      </w:r>
    </w:p>
    <w:p>
      <w:pPr>
        <w:spacing w:after="0" w:line="2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i w:val="1"/>
          <w:iCs w:val="1"/>
          <w:color w:val="auto"/>
        </w:rPr>
        <w:t>”We delivered another quarter of disciplined execution during our highest-volume peak, exceeding guidance across revenue-less ancillary services, and Adjusted EBITDA while generating robust free cash flow and sustained GAAP profitability. With strong execution across all verticals, we are raising our full-year 2026 outlook across revenue growth and adjusted EBITDA margin expansion. We have been GAAP profitable before, but this quarter marked a step change in scale of our GAAP profitability. This is true even when adjusting for a one-time, non-cash tax benefit tied to the release of our U.S. valuation allowance." - said Flywire's CFO, Cosmin Pitigoi.</w:t>
      </w:r>
    </w:p>
    <w:p>
      <w:pPr>
        <w:spacing w:after="0" w:line="120" w:lineRule="exact"/>
        <w:rPr>
          <w:sz w:val="20"/>
          <w:szCs w:val="20"/>
          <w:color w:val="auto"/>
        </w:rPr>
      </w:pPr>
    </w:p>
    <w:p>
      <w:pPr>
        <w:ind w:right="520"/>
        <w:spacing w:after="0" w:line="298" w:lineRule="auto"/>
        <w:rPr>
          <w:sz w:val="20"/>
          <w:szCs w:val="20"/>
          <w:color w:val="auto"/>
        </w:rPr>
      </w:pPr>
      <w:r>
        <w:rPr>
          <w:rFonts w:ascii="Arial" w:cs="Arial" w:eastAsia="Arial" w:hAnsi="Arial"/>
          <w:sz w:val="14"/>
          <w:szCs w:val="14"/>
          <w:color w:val="auto"/>
        </w:rPr>
        <w:t>In setting our Q4 outlook, we have appropriately factored in prudent visa assumptions across the big 4 education markets and B2B payment trends. Based on information available as of November 3, 2026, Flywire anticipates the following results for the fourth quarter and fiscal year 2026*.</w:t>
      </w:r>
    </w:p>
    <w:p>
      <w:pPr>
        <w:spacing w:after="0" w:line="94" w:lineRule="exact"/>
        <w:rPr>
          <w:sz w:val="20"/>
          <w:szCs w:val="20"/>
          <w:color w:val="auto"/>
        </w:rPr>
      </w:pPr>
    </w:p>
    <w:tbl>
      <w:tblPr>
        <w:tblLayout w:type="fixed"/>
        <w:tblInd w:w="30" w:type="dxa"/>
        <w:tblCellMar>
          <w:top w:w="0" w:type="dxa"/>
          <w:left w:w="0" w:type="dxa"/>
          <w:bottom w:w="0" w:type="dxa"/>
          <w:right w:w="0" w:type="dxa"/>
        </w:tblCellMar>
      </w:tblPr>
      <w:tr>
        <w:trPr>
          <w:trHeight w:val="360"/>
        </w:trPr>
        <w:tc>
          <w:tcPr>
            <w:tcW w:w="6980" w:type="dxa"/>
            <w:vAlign w:val="bottom"/>
            <w:tcBorders>
              <w:top w:val="single" w:sz="8" w:color="auto"/>
              <w:left w:val="single" w:sz="8" w:color="auto"/>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2026</w:t>
            </w:r>
          </w:p>
        </w:tc>
      </w:tr>
      <w:tr>
        <w:trPr>
          <w:trHeight w:val="144"/>
        </w:trPr>
        <w:tc>
          <w:tcPr>
            <w:tcW w:w="6980" w:type="dxa"/>
            <w:vAlign w:val="bottom"/>
            <w:tcBorders>
              <w:left w:val="single" w:sz="8" w:color="auto"/>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r>
      <w:tr>
        <w:trPr>
          <w:trHeight w:val="332"/>
        </w:trPr>
        <w:tc>
          <w:tcPr>
            <w:tcW w:w="6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FX-Neutral Revenue Less Ancillary Services Growth</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25-27% YoY</w:t>
            </w:r>
          </w:p>
        </w:tc>
      </w:tr>
      <w:tr>
        <w:trPr>
          <w:trHeight w:val="152"/>
        </w:trPr>
        <w:tc>
          <w:tcPr>
            <w:tcW w:w="6980" w:type="dxa"/>
            <w:vAlign w:val="bottom"/>
            <w:tcBorders>
              <w:left w:val="single" w:sz="8" w:color="auto"/>
              <w:bottom w:val="single" w:sz="8" w:color="auto"/>
              <w:right w:val="single" w:sz="8" w:color="auto"/>
            </w:tcBorders>
          </w:tcPr>
          <w:p>
            <w:pPr>
              <w:spacing w:after="0"/>
              <w:rPr>
                <w:sz w:val="13"/>
                <w:szCs w:val="13"/>
                <w:color w:val="auto"/>
              </w:rPr>
            </w:pPr>
          </w:p>
        </w:tc>
        <w:tc>
          <w:tcPr>
            <w:tcW w:w="3400" w:type="dxa"/>
            <w:vAlign w:val="bottom"/>
            <w:tcBorders>
              <w:bottom w:val="single" w:sz="8" w:color="auto"/>
              <w:right w:val="single" w:sz="8" w:color="auto"/>
            </w:tcBorders>
          </w:tcPr>
          <w:p>
            <w:pPr>
              <w:spacing w:after="0"/>
              <w:rPr>
                <w:sz w:val="13"/>
                <w:szCs w:val="13"/>
                <w:color w:val="auto"/>
              </w:rPr>
            </w:pPr>
          </w:p>
        </w:tc>
      </w:tr>
      <w:tr>
        <w:trPr>
          <w:trHeight w:val="332"/>
        </w:trPr>
        <w:tc>
          <w:tcPr>
            <w:tcW w:w="6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Adjusted EBITDA Margin Growth</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 to 360 bps YoY</w:t>
            </w:r>
          </w:p>
        </w:tc>
      </w:tr>
      <w:tr>
        <w:trPr>
          <w:trHeight w:val="152"/>
        </w:trPr>
        <w:tc>
          <w:tcPr>
            <w:tcW w:w="6980" w:type="dxa"/>
            <w:vAlign w:val="bottom"/>
            <w:tcBorders>
              <w:left w:val="single" w:sz="8" w:color="auto"/>
              <w:bottom w:val="single" w:sz="8" w:color="auto"/>
              <w:right w:val="single" w:sz="8" w:color="auto"/>
            </w:tcBorders>
          </w:tcPr>
          <w:p>
            <w:pPr>
              <w:spacing w:after="0"/>
              <w:rPr>
                <w:sz w:val="13"/>
                <w:szCs w:val="13"/>
                <w:color w:val="auto"/>
              </w:rPr>
            </w:pPr>
          </w:p>
        </w:tc>
        <w:tc>
          <w:tcPr>
            <w:tcW w:w="340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300"/>
          </w:cols>
          <w:pgMar w:left="300" w:top="994" w:right="299" w:bottom="1440" w:gutter="0" w:footer="0" w:header="0"/>
        </w:sectPr>
      </w:pPr>
    </w:p>
    <w:bookmarkStart w:id="7" w:name="page8"/>
    <w:bookmarkEnd w:id="7"/>
    <w:p>
      <w:pPr>
        <w:spacing w:after="0" w:line="12" w:lineRule="exact"/>
        <w:rPr>
          <w:sz w:val="20"/>
          <w:szCs w:val="20"/>
          <w:color w:val="auto"/>
        </w:rPr>
      </w:pPr>
    </w:p>
    <w:tbl>
      <w:tblPr>
        <w:tblLayout w:type="fixed"/>
        <w:tblInd w:w="30" w:type="dxa"/>
        <w:tblCellMar>
          <w:top w:w="0" w:type="dxa"/>
          <w:left w:w="0" w:type="dxa"/>
          <w:bottom w:w="0" w:type="dxa"/>
          <w:right w:w="0" w:type="dxa"/>
        </w:tblCellMar>
      </w:tblPr>
      <w:tr>
        <w:trPr>
          <w:trHeight w:val="358"/>
        </w:trPr>
        <w:tc>
          <w:tcPr>
            <w:tcW w:w="6980" w:type="dxa"/>
            <w:vAlign w:val="bottom"/>
            <w:tcBorders>
              <w:top w:val="single" w:sz="8" w:color="auto"/>
              <w:left w:val="single" w:sz="8" w:color="auto"/>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Fourth Quarter 2026</w:t>
            </w:r>
          </w:p>
        </w:tc>
      </w:tr>
      <w:tr>
        <w:trPr>
          <w:trHeight w:val="146"/>
        </w:trPr>
        <w:tc>
          <w:tcPr>
            <w:tcW w:w="6980" w:type="dxa"/>
            <w:vAlign w:val="bottom"/>
            <w:tcBorders>
              <w:left w:val="single" w:sz="8" w:color="auto"/>
              <w:bottom w:val="single" w:sz="8" w:color="auto"/>
              <w:right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r>
      <w:tr>
        <w:trPr>
          <w:trHeight w:val="332"/>
        </w:trPr>
        <w:tc>
          <w:tcPr>
            <w:tcW w:w="6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FX-Neutral Revenue Less Ancillary Services Growth</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14-20% YoY</w:t>
            </w:r>
          </w:p>
        </w:tc>
      </w:tr>
      <w:tr>
        <w:trPr>
          <w:trHeight w:val="152"/>
        </w:trPr>
        <w:tc>
          <w:tcPr>
            <w:tcW w:w="6980" w:type="dxa"/>
            <w:vAlign w:val="bottom"/>
            <w:tcBorders>
              <w:left w:val="single" w:sz="8" w:color="auto"/>
              <w:bottom w:val="single" w:sz="8" w:color="auto"/>
              <w:right w:val="single" w:sz="8" w:color="auto"/>
            </w:tcBorders>
          </w:tcPr>
          <w:p>
            <w:pPr>
              <w:spacing w:after="0"/>
              <w:rPr>
                <w:sz w:val="13"/>
                <w:szCs w:val="13"/>
                <w:color w:val="auto"/>
              </w:rPr>
            </w:pPr>
          </w:p>
        </w:tc>
        <w:tc>
          <w:tcPr>
            <w:tcW w:w="3400" w:type="dxa"/>
            <w:vAlign w:val="bottom"/>
            <w:tcBorders>
              <w:bottom w:val="single" w:sz="8" w:color="auto"/>
              <w:right w:val="single" w:sz="8" w:color="auto"/>
            </w:tcBorders>
          </w:tcPr>
          <w:p>
            <w:pPr>
              <w:spacing w:after="0"/>
              <w:rPr>
                <w:sz w:val="13"/>
                <w:szCs w:val="13"/>
                <w:color w:val="auto"/>
              </w:rPr>
            </w:pPr>
          </w:p>
        </w:tc>
      </w:tr>
      <w:tr>
        <w:trPr>
          <w:trHeight w:val="169"/>
        </w:trPr>
        <w:tc>
          <w:tcPr>
            <w:tcW w:w="69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Adjusted EBITDA Margin Growth</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330-530 bps YoY</w:t>
            </w:r>
          </w:p>
        </w:tc>
      </w:tr>
    </w:tbl>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highlight w:val="white"/>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growth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w:t>
      </w:r>
    </w:p>
    <w:p>
      <w:pPr>
        <w:spacing w:after="0" w:line="106" w:lineRule="exact"/>
        <w:rPr>
          <w:sz w:val="20"/>
          <w:szCs w:val="20"/>
          <w:color w:val="auto"/>
        </w:rPr>
      </w:pPr>
    </w:p>
    <w:p>
      <w:pPr>
        <w:ind w:right="540"/>
        <w:spacing w:after="0" w:line="312" w:lineRule="auto"/>
        <w:rPr>
          <w:sz w:val="20"/>
          <w:szCs w:val="20"/>
          <w:color w:val="auto"/>
        </w:rPr>
      </w:pPr>
      <w:r>
        <w:rPr>
          <w:rFonts w:ascii="Arial" w:cs="Arial" w:eastAsia="Arial" w:hAnsi="Arial"/>
          <w:sz w:val="14"/>
          <w:szCs w:val="14"/>
          <w:color w:val="auto"/>
        </w:rPr>
        <w:t>These statements are forward-looking, and actual results may differ materially. Refer to the “Safe Harbor Statement” below for information on the factors that could cause Flywire’s actual results to differ materially from these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 Update</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Flywire also announced today that Alex Finkelstein has resigned from the Company’s Board of Directors, effective October 29, 2026. Mr. Finkelstein has served on Flywire’s Board since 2011, having led Spark Capital’s initial investment in the Company and provided steadfast strategic guidance and leadership from Flywire's earliest days through its global expansion and IPO. The Company, the Board of Directors, and the executive leadership team extend their deepest gratitude to Alex for his 15 years of exceptional dedication, vision, and service to Flywire.</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As previously announced, Flywire has appointed Sabrina Farmer to its Board of Directors. Ms. Farmer has spent the last 25 years in technology leadership roles at some of the world's most innovative companies, including as VP of Engineering for Core Infrastructure at Google and CTO of GitLab. She now leads the Commerce Platform at Microsoft. Her deep knowledge of infrastructure resilience, operational excellence, and technical leadership will be invaluable to Flywire.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w:t>
      </w:r>
    </w:p>
    <w:p>
      <w:pPr>
        <w:sectPr>
          <w:pgSz w:w="11900" w:h="16838" w:orient="portrait"/>
          <w:cols w:equalWidth="0" w:num="1">
            <w:col w:w="11300"/>
          </w:cols>
          <w:pgMar w:left="300" w:top="1440" w:right="299" w:bottom="1440" w:gutter="0" w:footer="0" w:header="0"/>
        </w:sectPr>
      </w:pPr>
    </w:p>
    <w:bookmarkStart w:id="8" w:name="page9"/>
    <w:bookmarkEnd w:id="8"/>
    <w:p>
      <w:pPr>
        <w:jc w:val="both"/>
        <w:ind w:right="240"/>
        <w:spacing w:after="0" w:line="276" w:lineRule="auto"/>
        <w:rPr>
          <w:sz w:val="20"/>
          <w:szCs w:val="20"/>
          <w:color w:val="auto"/>
        </w:rPr>
      </w:pPr>
      <w:r>
        <w:rPr>
          <w:rFonts w:ascii="Arial" w:cs="Arial" w:eastAsia="Arial" w:hAnsi="Arial"/>
          <w:sz w:val="14"/>
          <w:szCs w:val="14"/>
          <w:color w:val="auto"/>
        </w:rPr>
        <w:t xml:space="preserve">The Company will host a conference call to discuss Third quarter financial results today at 5:00 pm ET. Hosting the call will be Mike Massaro, CEO, Rob Orgel, President and COO, and Cosmin Pitigoi, CFO. The conference call can be accessed live via webcast from the Company's investor relations website at </w:t>
      </w:r>
      <w:r>
        <w:rPr>
          <w:rFonts w:ascii="Arial" w:cs="Arial" w:eastAsia="Arial" w:hAnsi="Arial"/>
          <w:sz w:val="14"/>
          <w:szCs w:val="14"/>
          <w:u w:val="single" w:color="auto"/>
          <w:color w:val="1155CC"/>
        </w:rPr>
        <w:t>https://ir.flywire.com/</w:t>
      </w:r>
      <w:r>
        <w:rPr>
          <w:rFonts w:ascii="Arial" w:cs="Arial" w:eastAsia="Arial" w:hAnsi="Arial"/>
          <w:sz w:val="14"/>
          <w:szCs w:val="14"/>
          <w:color w:val="auto"/>
        </w:rPr>
        <w:t>. A replay will be available on the investor relations website following the call.</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Regarding Share Repurchase Program</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Repurchases under the Company’s share repurchase program (the Repurchase Program) may be made from time to time through open market purchases, in privately negotiated transactions or by other means, including through accelerated share repurchase transactions or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Metrics and Non-GAAP Financial Measures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pacing w:after="0" w:line="83"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ind w:left="200"/>
        <w:spacing w:after="0"/>
        <w:tabs>
          <w:tab w:leader="none" w:pos="400" w:val="left"/>
        </w:tabs>
        <w:rPr>
          <w:sz w:val="20"/>
          <w:szCs w:val="20"/>
          <w:color w:val="auto"/>
        </w:rPr>
      </w:pPr>
      <w:r>
        <w:rPr>
          <w:rFonts w:ascii="Arial" w:cs="Arial" w:eastAsia="Arial" w:hAnsi="Arial"/>
          <w:sz w:val="14"/>
          <w:szCs w:val="14"/>
          <w:color w:val="auto"/>
        </w:rPr>
        <w:t>●</w:t>
        <w:tab/>
        <w:t>Revenue Less Ancillary Services. Revenue Less Ancillary Services represents the Company’s consolidated revenue in accordance with GAAP less (i) pass-through cost</w:t>
      </w:r>
    </w:p>
    <w:p>
      <w:pPr>
        <w:sectPr>
          <w:pgSz w:w="11900" w:h="16838" w:orient="portrait"/>
          <w:cols w:equalWidth="0" w:num="1">
            <w:col w:w="11260"/>
          </w:cols>
          <w:pgMar w:left="300" w:top="1138" w:right="339" w:bottom="1440" w:gutter="0" w:footer="0" w:header="0"/>
        </w:sectPr>
      </w:pPr>
    </w:p>
    <w:bookmarkStart w:id="9" w:name="page10"/>
    <w:bookmarkEnd w:id="9"/>
    <w:p>
      <w:pPr>
        <w:ind w:left="212" w:right="300"/>
        <w:spacing w:after="0" w:line="298" w:lineRule="auto"/>
        <w:rPr>
          <w:sz w:val="20"/>
          <w:szCs w:val="20"/>
          <w:color w:val="auto"/>
        </w:rPr>
      </w:pPr>
      <w:r>
        <w:rPr>
          <w:rFonts w:ascii="Arial" w:cs="Arial" w:eastAsia="Arial" w:hAnsi="Arial"/>
          <w:sz w:val="14"/>
          <w:szCs w:val="14"/>
          <w:color w:val="auto"/>
        </w:rPr>
        <w:t>for printing and mailing services and (ii) marketing fees. The Company excludes these amounts to arrive at this supplemental non-GAAP financial measure as it views these services as ancillary to the primary services it provides to its clients.</w:t>
      </w:r>
    </w:p>
    <w:p>
      <w:pPr>
        <w:spacing w:after="0" w:line="14" w:lineRule="exact"/>
        <w:rPr>
          <w:sz w:val="20"/>
          <w:szCs w:val="20"/>
          <w:color w:val="auto"/>
        </w:rPr>
      </w:pPr>
    </w:p>
    <w:p>
      <w:pPr>
        <w:ind w:left="212" w:right="20" w:hanging="212"/>
        <w:spacing w:after="0" w:line="269" w:lineRule="auto"/>
        <w:tabs>
          <w:tab w:leader="none" w:pos="209"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 processing-related services, which are the primary services it provides to its clients.</w:t>
      </w:r>
    </w:p>
    <w:p>
      <w:pPr>
        <w:spacing w:after="0" w:line="33" w:lineRule="exact"/>
        <w:rPr>
          <w:rFonts w:ascii="Arial" w:cs="Arial" w:eastAsia="Arial" w:hAnsi="Arial"/>
          <w:sz w:val="14"/>
          <w:szCs w:val="14"/>
          <w:color w:val="auto"/>
        </w:rPr>
      </w:pPr>
    </w:p>
    <w:p>
      <w:pPr>
        <w:ind w:left="212" w:right="140" w:hanging="212"/>
        <w:spacing w:after="0" w:line="266" w:lineRule="auto"/>
        <w:tabs>
          <w:tab w:leader="none" w:pos="209"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EBITDA represents our consolidated net income (loss) in accordance with GAAP adjusted to exclude (i) interest expense, (ii) interest income, (iii) provision for (benefit from)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(g) restructuring costs, and (h) gain (loss) from investments. Management believes that the exclusion of these amounts to calculate Adjusted EBITDA provides useful measures for period-to-period comparisons of the Company’s business.</w:t>
      </w:r>
    </w:p>
    <w:p>
      <w:pPr>
        <w:spacing w:after="0" w:line="36" w:lineRule="exact"/>
        <w:rPr>
          <w:rFonts w:ascii="Arial" w:cs="Arial" w:eastAsia="Arial" w:hAnsi="Arial"/>
          <w:sz w:val="14"/>
          <w:szCs w:val="14"/>
          <w:color w:val="auto"/>
        </w:rPr>
      </w:pPr>
    </w:p>
    <w:p>
      <w:pPr>
        <w:ind w:left="212" w:right="180" w:hanging="212"/>
        <w:spacing w:after="0" w:line="283" w:lineRule="auto"/>
        <w:tabs>
          <w:tab w:leader="none" w:pos="209"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Margin. Adjusted EBITDA Margin represents Adjusted EBITDA divided by Revenue Less Ancillary Services. Management believes this presentation supplements the GAAP presentation of net income margin with a useful measure of the profitability of our core operations, excluding the pass-through ancillary services revenue and the items excluded from Adjusted EBITDA described above.</w:t>
      </w:r>
    </w:p>
    <w:p>
      <w:pPr>
        <w:spacing w:after="0" w:line="24" w:lineRule="exact"/>
        <w:rPr>
          <w:rFonts w:ascii="Arial" w:cs="Arial" w:eastAsia="Arial" w:hAnsi="Arial"/>
          <w:sz w:val="14"/>
          <w:szCs w:val="14"/>
          <w:color w:val="auto"/>
        </w:rPr>
      </w:pPr>
    </w:p>
    <w:p>
      <w:pPr>
        <w:ind w:left="212" w:hanging="212"/>
        <w:spacing w:after="0" w:line="273" w:lineRule="auto"/>
        <w:tabs>
          <w:tab w:leader="none" w:pos="209" w:val="left"/>
        </w:tabs>
        <w:numPr>
          <w:ilvl w:val="0"/>
          <w:numId w:val="8"/>
        </w:numPr>
        <w:rPr>
          <w:rFonts w:ascii="Arial" w:cs="Arial" w:eastAsia="Arial" w:hAnsi="Arial"/>
          <w:sz w:val="14"/>
          <w:szCs w:val="14"/>
          <w:color w:val="auto"/>
        </w:rPr>
      </w:pPr>
      <w:r>
        <w:rPr>
          <w:rFonts w:ascii="Arial" w:cs="Arial" w:eastAsia="Arial" w:hAnsi="Arial"/>
          <w:sz w:val="14"/>
          <w:szCs w:val="14"/>
          <w:color w:val="auto"/>
        </w:rPr>
        <w:t>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w:t>
      </w:r>
    </w:p>
    <w:p>
      <w:pPr>
        <w:spacing w:after="0" w:line="32" w:lineRule="exact"/>
        <w:rPr>
          <w:rFonts w:ascii="Arial" w:cs="Arial" w:eastAsia="Arial" w:hAnsi="Arial"/>
          <w:sz w:val="14"/>
          <w:szCs w:val="14"/>
          <w:color w:val="auto"/>
        </w:rPr>
      </w:pPr>
    </w:p>
    <w:p>
      <w:pPr>
        <w:ind w:left="212" w:right="240" w:hanging="212"/>
        <w:spacing w:after="0" w:line="276" w:lineRule="auto"/>
        <w:tabs>
          <w:tab w:leader="none" w:pos="209"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Non-GAAP Operating Expenses.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w:t>
      </w:r>
    </w:p>
    <w:p>
      <w:pPr>
        <w:sectPr>
          <w:pgSz w:w="11900" w:h="16838" w:orient="portrait"/>
          <w:cols w:equalWidth="0" w:num="1">
            <w:col w:w="11072"/>
          </w:cols>
          <w:pgMar w:left="508" w:top="994" w:right="319" w:bottom="1440" w:gutter="0" w:footer="0" w:header="0"/>
        </w:sectPr>
      </w:pPr>
    </w:p>
    <w:bookmarkStart w:id="10" w:name="page11"/>
    <w:bookmarkEnd w:id="10"/>
    <w:p>
      <w:pPr>
        <w:ind w:left="420"/>
        <w:spacing w:after="0"/>
        <w:rPr>
          <w:sz w:val="20"/>
          <w:szCs w:val="20"/>
          <w:color w:val="auto"/>
        </w:rPr>
      </w:pPr>
      <w:r>
        <w:rPr>
          <w:rFonts w:ascii="Arial" w:cs="Arial" w:eastAsia="Arial" w:hAnsi="Arial"/>
          <w:sz w:val="14"/>
          <w:szCs w:val="14"/>
          <w:color w:val="auto"/>
        </w:rPr>
        <w:t>fair value measurement for contingent consideration associated with acquisitions and (vi) restructuring costs.</w:t>
      </w:r>
    </w:p>
    <w:p>
      <w:pPr>
        <w:spacing w:after="0" w:line="24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w:t>
      </w:r>
    </w:p>
    <w:p>
      <w:pPr>
        <w:spacing w:after="0" w:line="106"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 xml:space="preserve">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growth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r>
        <w:rPr>
          <w:rFonts w:ascii="Arial" w:cs="Arial" w:eastAsia="Arial" w:hAnsi="Arial"/>
          <w:sz w:val="14"/>
          <w:szCs w:val="14"/>
          <w:color w:val="auto"/>
          <w:highlight w:val="white"/>
        </w:rPr>
        <w:t>and foreign currency exchange rates.</w:t>
      </w:r>
      <w:r>
        <w:rPr>
          <w:rFonts w:ascii="Arial" w:cs="Arial" w:eastAsia="Arial" w:hAnsi="Arial"/>
          <w:sz w:val="14"/>
          <w:szCs w:val="14"/>
          <w:color w:val="auto"/>
        </w:rPr>
        <w:t xml:space="preserve"> For figures in this press release reported on an "FX-Neutral basis,” Flywire calculates the year-over-year impact of foreign currency movements using prior period weighted average foreign currency exchange rates.</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Flywire</w:t>
      </w:r>
    </w:p>
    <w:p>
      <w:pPr>
        <w:spacing w:after="0" w:line="154" w:lineRule="exact"/>
        <w:rPr>
          <w:sz w:val="20"/>
          <w:szCs w:val="20"/>
          <w:color w:val="auto"/>
        </w:rPr>
      </w:pPr>
    </w:p>
    <w:p>
      <w:pPr>
        <w:ind w:right="400"/>
        <w:spacing w:after="0" w:line="312" w:lineRule="auto"/>
        <w:rPr>
          <w:sz w:val="20"/>
          <w:szCs w:val="20"/>
          <w:color w:val="auto"/>
        </w:rPr>
      </w:pPr>
      <w:r>
        <w:rPr>
          <w:rFonts w:ascii="Arial" w:cs="Arial" w:eastAsia="Arial" w:hAnsi="Arial"/>
          <w:sz w:val="14"/>
          <w:szCs w:val="14"/>
          <w:color w:val="0A0A0A"/>
          <w:highlight w:val="white"/>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0A0A0A"/>
          <w:highlight w:val="white"/>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pacing w:after="0" w:line="102" w:lineRule="exact"/>
        <w:rPr>
          <w:sz w:val="20"/>
          <w:szCs w:val="20"/>
          <w:color w:val="auto"/>
        </w:rPr>
      </w:pPr>
    </w:p>
    <w:p>
      <w:pPr>
        <w:jc w:val="both"/>
        <w:ind w:right="180"/>
        <w:spacing w:after="0" w:line="283" w:lineRule="auto"/>
        <w:rPr>
          <w:sz w:val="20"/>
          <w:szCs w:val="20"/>
          <w:color w:val="auto"/>
        </w:rPr>
      </w:pPr>
      <w:r>
        <w:rPr>
          <w:rFonts w:ascii="Arial" w:cs="Arial" w:eastAsia="Arial" w:hAnsi="Arial"/>
          <w:sz w:val="14"/>
          <w:szCs w:val="14"/>
          <w:color w:val="0A0A0A"/>
          <w:highlight w:val="white"/>
        </w:rPr>
        <w:t xml:space="preserve">Flywire supports approximately 5,400** clients with diverse payment methods in more than 140 currencies across more than 240 countries and territories around the world. Flywire is headquartered in Boston, MA, USA, with global offices. For more information, visit </w:t>
      </w:r>
      <w:r>
        <w:rPr>
          <w:rFonts w:ascii="Arial" w:cs="Arial" w:eastAsia="Arial" w:hAnsi="Arial"/>
          <w:sz w:val="14"/>
          <w:szCs w:val="14"/>
          <w:u w:val="single" w:color="auto"/>
          <w:color w:val="147BD1"/>
          <w:highlight w:val="white"/>
        </w:rPr>
        <w:t>www.flywire.com</w:t>
      </w:r>
      <w:r>
        <w:rPr>
          <w:rFonts w:ascii="Arial" w:cs="Arial" w:eastAsia="Arial" w:hAnsi="Arial"/>
          <w:sz w:val="14"/>
          <w:szCs w:val="14"/>
          <w:color w:val="0A0A0A"/>
          <w:highlight w:val="white"/>
        </w:rPr>
        <w:t xml:space="preserve">. Follow Flywire on </w:t>
      </w:r>
      <w:r>
        <w:rPr>
          <w:rFonts w:ascii="Arial" w:cs="Arial" w:eastAsia="Arial" w:hAnsi="Arial"/>
          <w:sz w:val="14"/>
          <w:szCs w:val="14"/>
          <w:u w:val="single" w:color="auto"/>
          <w:color w:val="147BD1"/>
          <w:highlight w:val="white"/>
        </w:rPr>
        <w:t>X</w:t>
      </w:r>
      <w:r>
        <w:rPr>
          <w:rFonts w:ascii="Arial" w:cs="Arial" w:eastAsia="Arial" w:hAnsi="Arial"/>
          <w:sz w:val="14"/>
          <w:szCs w:val="14"/>
          <w:color w:val="0A0A0A"/>
          <w:highlight w:val="white"/>
        </w:rPr>
        <w:t xml:space="preserve"> (formerly known as Twitter), </w:t>
      </w:r>
      <w:r>
        <w:rPr>
          <w:rFonts w:ascii="Arial" w:cs="Arial" w:eastAsia="Arial" w:hAnsi="Arial"/>
          <w:sz w:val="14"/>
          <w:szCs w:val="14"/>
          <w:u w:val="single" w:color="auto"/>
          <w:color w:val="147BD1"/>
          <w:highlight w:val="white"/>
        </w:rPr>
        <w:t>LinkedIn</w:t>
      </w:r>
      <w:r>
        <w:rPr>
          <w:rFonts w:ascii="Arial" w:cs="Arial" w:eastAsia="Arial" w:hAnsi="Arial"/>
          <w:sz w:val="14"/>
          <w:szCs w:val="14"/>
          <w:color w:val="0A0A0A"/>
          <w:highlight w:val="white"/>
        </w:rPr>
        <w:t xml:space="preserve"> and </w:t>
      </w:r>
      <w:r>
        <w:rPr>
          <w:rFonts w:ascii="Arial" w:cs="Arial" w:eastAsia="Arial" w:hAnsi="Arial"/>
          <w:sz w:val="14"/>
          <w:szCs w:val="14"/>
          <w:u w:val="single" w:color="auto"/>
          <w:color w:val="147BD1"/>
          <w:highlight w:val="white"/>
        </w:rPr>
        <w:t>Facebook</w:t>
      </w:r>
      <w:r>
        <w:rPr>
          <w:rFonts w:ascii="Arial" w:cs="Arial" w:eastAsia="Arial" w:hAnsi="Arial"/>
          <w:sz w:val="14"/>
          <w:szCs w:val="14"/>
          <w:color w:val="0A0A0A"/>
          <w:highlight w:val="white"/>
        </w:rPr>
        <w: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i w:val="1"/>
          <w:iCs w:val="1"/>
          <w:color w:val="0A0A0A"/>
          <w:highlight w:val="white"/>
        </w:rPr>
        <w:t>**Excludes clients from Flywire’s Sertifi and Invoiced acquisitions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0A0A"/>
          <w:highlight w:val="white"/>
        </w:rPr>
        <w:t>Safe Harbor Statement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0A0A0A"/>
          <w:highlight w:val="white"/>
        </w:rPr>
        <w:t>This release contains forward-looking statements within the meaning of the Private Securities</w:t>
      </w:r>
    </w:p>
    <w:p>
      <w:pPr>
        <w:sectPr>
          <w:pgSz w:w="11900" w:h="16838" w:orient="portrait"/>
          <w:cols w:equalWidth="0" w:num="1">
            <w:col w:w="11120"/>
          </w:cols>
          <w:pgMar w:left="300" w:top="994" w:right="47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4"/>
          <w:szCs w:val="14"/>
          <w:color w:val="0A0A0A"/>
          <w:highlight w:val="white"/>
        </w:rPr>
        <w:t>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estimates of market opportunity and our ability to capture a meaningful share of this payment volume may prove to be inaccurate; recent and future acquisitions or investments in complementary companies, products, services, or technologies; uncertainties associated with the timing and scope of future repurchases by Flywire of its common stock under its repurchase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and business-to-business sector; Flywire’s expectations regarding anticipated technology needs and developments and its ability to address those needs and developments with its solutions; Flywire’s use of artificial intelligence may result in operational challenges, legal liability, reputational harm, competitive risks and enhanced regulatory and fraud concerns;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ongoing hostilities in Ukraine</w:t>
      </w:r>
    </w:p>
    <w:p>
      <w:pPr>
        <w:sectPr>
          <w:pgSz w:w="11900" w:h="16838" w:orient="portrait"/>
          <w:cols w:equalWidth="0" w:num="1">
            <w:col w:w="11240"/>
          </w:cols>
          <w:pgMar w:left="300" w:top="1138" w:right="359" w:bottom="1440" w:gutter="0" w:footer="0" w:header="0"/>
        </w:sectPr>
      </w:pPr>
    </w:p>
    <w:bookmarkStart w:id="12" w:name="page13"/>
    <w:bookmarkEnd w:id="12"/>
    <w:p>
      <w:pPr>
        <w:spacing w:after="0" w:line="262" w:lineRule="auto"/>
        <w:rPr>
          <w:sz w:val="20"/>
          <w:szCs w:val="20"/>
          <w:color w:val="auto"/>
        </w:rPr>
      </w:pPr>
      <w:r>
        <w:rPr>
          <w:rFonts w:ascii="Arial" w:cs="Arial" w:eastAsia="Arial" w:hAnsi="Arial"/>
          <w:sz w:val="14"/>
          <w:szCs w:val="14"/>
          <w:color w:val="0A0A0A"/>
          <w:highlight w:val="white"/>
        </w:rPr>
        <w:t xml:space="preserve">and involving Israel, Hamas, the U.S.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w:t>
      </w:r>
      <w:r>
        <w:rPr>
          <w:rFonts w:ascii="Arial" w:cs="Arial" w:eastAsia="Arial" w:hAnsi="Arial"/>
          <w:sz w:val="14"/>
          <w:szCs w:val="14"/>
          <w:color w:val="000000"/>
          <w:highlight w:val="white"/>
        </w:rPr>
        <w:t>ended December 31, 2025 and</w:t>
      </w:r>
      <w:r>
        <w:rPr>
          <w:rFonts w:ascii="Arial" w:cs="Arial" w:eastAsia="Arial" w:hAnsi="Arial"/>
          <w:sz w:val="14"/>
          <w:szCs w:val="14"/>
          <w:color w:val="0A0A0A"/>
          <w:highlight w:val="white"/>
        </w:rPr>
        <w:t xml:space="preserve"> Quarterly Report on Form 10-Q for the quarter ended June 30, 2026, </w:t>
      </w:r>
      <w:r>
        <w:rPr>
          <w:rFonts w:ascii="Arial" w:cs="Arial" w:eastAsia="Arial" w:hAnsi="Arial"/>
          <w:sz w:val="14"/>
          <w:szCs w:val="14"/>
          <w:color w:val="000000"/>
          <w:highlight w:val="white"/>
        </w:rPr>
        <w:t>whi</w:t>
      </w:r>
      <w:r>
        <w:rPr>
          <w:rFonts w:ascii="Arial" w:cs="Arial" w:eastAsia="Arial" w:hAnsi="Arial"/>
          <w:sz w:val="14"/>
          <w:szCs w:val="14"/>
          <w:color w:val="0A0A0A"/>
          <w:highlight w:val="white"/>
        </w:rPr>
        <w:t>ch are on file with the Securities and Exchange Commission (SEC) and available on the SEC's website at https://www.sec.gov/. Additional factors may be described in those sections of Flywire’s Quarterly Report on Form 10-Q for the quarter ended September 30, 2026, expected to be filed in the fourth quarter of 2026.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highlight w:val="white"/>
        </w:rPr>
        <w:t>Contacts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w:t>
      </w:r>
      <w:r>
        <w:rPr>
          <w:rFonts w:ascii="Arial" w:cs="Arial" w:eastAsia="Arial" w:hAnsi="Arial"/>
          <w:sz w:val="14"/>
          <w:szCs w:val="14"/>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Masha Kahn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155CC"/>
        </w:rPr>
        <w:t>ir@Flywire.com</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r>
        <w:rPr>
          <w:rFonts w:ascii="Arial" w:cs="Arial" w:eastAsia="Arial" w:hAnsi="Arial"/>
          <w:sz w:val="14"/>
          <w:szCs w:val="14"/>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Sarah King</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1155CC"/>
        </w:rPr>
        <w:t>Media@Flywire.com</w:t>
      </w:r>
    </w:p>
    <w:p>
      <w:pPr>
        <w:sectPr>
          <w:pgSz w:w="11900" w:h="16838" w:orient="portrait"/>
          <w:cols w:equalWidth="0" w:num="1">
            <w:col w:w="11240"/>
          </w:cols>
          <w:pgMar w:left="300" w:top="1138"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Revenue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Costs and operating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Payment processing services costs</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Technology and development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Selling and marketing</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General and administrative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Restructuring</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2"/>
          <w:szCs w:val="12"/>
          <w:b w:val="1"/>
          <w:bCs w:val="1"/>
          <w:color w:val="auto"/>
        </w:rPr>
        <w:t>Condensed Consolidated Statements of Operations and Comprehensive Income</w:t>
      </w:r>
    </w:p>
    <w:p>
      <w:pPr>
        <w:spacing w:after="0" w:line="18" w:lineRule="exact"/>
        <w:rPr>
          <w:sz w:val="20"/>
          <w:szCs w:val="20"/>
          <w:color w:val="auto"/>
        </w:rPr>
      </w:pPr>
    </w:p>
    <w:p>
      <w:pPr>
        <w:jc w:val="center"/>
        <w:ind w:right="3360"/>
        <w:spacing w:after="0"/>
        <w:rPr>
          <w:sz w:val="20"/>
          <w:szCs w:val="20"/>
          <w:color w:val="auto"/>
        </w:rPr>
      </w:pPr>
      <w:r>
        <w:rPr>
          <w:rFonts w:ascii="Arial" w:cs="Arial" w:eastAsia="Arial" w:hAnsi="Arial"/>
          <w:sz w:val="12"/>
          <w:szCs w:val="12"/>
          <w:b w:val="1"/>
          <w:bCs w:val="1"/>
          <w:color w:val="auto"/>
        </w:rPr>
        <w:t>(Unaudited) (Amounts in thousands, except share and per share amounts)</w:t>
      </w:r>
    </w:p>
    <w:p>
      <w:pPr>
        <w:spacing w:after="0" w:line="61" w:lineRule="exact"/>
        <w:rPr>
          <w:sz w:val="20"/>
          <w:szCs w:val="20"/>
          <w:color w:val="auto"/>
        </w:rPr>
      </w:pPr>
    </w:p>
    <w:tbl>
      <w:tblPr>
        <w:tblLayout w:type="fixed"/>
        <w:tblInd w:w="1020" w:type="dxa"/>
        <w:tblCellMar>
          <w:top w:w="0" w:type="dxa"/>
          <w:left w:w="0" w:type="dxa"/>
          <w:bottom w:w="0" w:type="dxa"/>
          <w:right w:w="0" w:type="dxa"/>
        </w:tblCellMar>
      </w:tblPr>
      <w:tr>
        <w:trPr>
          <w:trHeight w:val="155"/>
        </w:trPr>
        <w:tc>
          <w:tcPr>
            <w:tcW w:w="282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1"/>
                <w:szCs w:val="11"/>
                <w:b w:val="1"/>
                <w:bCs w:val="1"/>
                <w:color w:val="auto"/>
              </w:rPr>
              <w:t>Nine Months Ended September 30,</w:t>
            </w:r>
          </w:p>
        </w:tc>
        <w:tc>
          <w:tcPr>
            <w:tcW w:w="580" w:type="dxa"/>
            <w:vAlign w:val="bottom"/>
            <w:tcBorders>
              <w:bottom w:val="single" w:sz="8" w:color="auto"/>
            </w:tcBorders>
          </w:tcPr>
          <w:p>
            <w:pPr>
              <w:spacing w:after="0"/>
              <w:rPr>
                <w:sz w:val="13"/>
                <w:szCs w:val="13"/>
                <w:color w:val="auto"/>
              </w:rPr>
            </w:pPr>
          </w:p>
        </w:tc>
      </w:tr>
      <w:tr>
        <w:trPr>
          <w:trHeight w:val="151"/>
        </w:trPr>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r>
      <w:tr>
        <w:trPr>
          <w:trHeight w:val="138"/>
        </w:trPr>
        <w:tc>
          <w:tcPr>
            <w:tcW w:w="1060" w:type="dxa"/>
            <w:vAlign w:val="bottom"/>
          </w:tcPr>
          <w:p>
            <w:pPr>
              <w:jc w:val="right"/>
              <w:ind w:right="9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250,300</w:t>
            </w:r>
          </w:p>
        </w:tc>
        <w:tc>
          <w:tcPr>
            <w:tcW w:w="140" w:type="dxa"/>
            <w:vAlign w:val="bottom"/>
          </w:tcPr>
          <w:p>
            <w:pPr>
              <w:spacing w:after="0"/>
              <w:rPr>
                <w:sz w:val="12"/>
                <w:szCs w:val="12"/>
                <w:color w:val="auto"/>
              </w:rPr>
            </w:pP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200,138</w:t>
            </w:r>
          </w:p>
        </w:tc>
        <w:tc>
          <w:tcPr>
            <w:tcW w:w="140" w:type="dxa"/>
            <w:vAlign w:val="bottom"/>
          </w:tcPr>
          <w:p>
            <w:pPr>
              <w:spacing w:after="0"/>
              <w:rPr>
                <w:sz w:val="12"/>
                <w:szCs w:val="12"/>
                <w:color w:val="auto"/>
              </w:rPr>
            </w:pP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606,156</w:t>
            </w:r>
          </w:p>
        </w:tc>
        <w:tc>
          <w:tcPr>
            <w:tcW w:w="120" w:type="dxa"/>
            <w:vAlign w:val="bottom"/>
          </w:tcPr>
          <w:p>
            <w:pPr>
              <w:spacing w:after="0"/>
              <w:rPr>
                <w:sz w:val="12"/>
                <w:szCs w:val="12"/>
                <w:color w:val="auto"/>
              </w:rPr>
            </w:pP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465,481</w:t>
            </w:r>
          </w:p>
        </w:tc>
      </w:tr>
      <w:tr>
        <w:trPr>
          <w:trHeight w:val="297"/>
        </w:trPr>
        <w:tc>
          <w:tcPr>
            <w:tcW w:w="1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93,989</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72,318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246,188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176,768</w:t>
            </w:r>
          </w:p>
        </w:tc>
      </w:tr>
      <w:tr>
        <w:trPr>
          <w:trHeight w:val="144"/>
        </w:trPr>
        <w:tc>
          <w:tcPr>
            <w:tcW w:w="10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16,652</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17,650</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54,472</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51,667</w:t>
            </w:r>
          </w:p>
        </w:tc>
      </w:tr>
      <w:tr>
        <w:trPr>
          <w:trHeight w:val="144"/>
        </w:trPr>
        <w:tc>
          <w:tcPr>
            <w:tcW w:w="10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42,570</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41,911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121,975</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116,857</w:t>
            </w:r>
          </w:p>
        </w:tc>
      </w:tr>
      <w:tr>
        <w:trPr>
          <w:trHeight w:val="144"/>
        </w:trPr>
        <w:tc>
          <w:tcPr>
            <w:tcW w:w="10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44,330</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36,006</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122,750</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99,239</w:t>
            </w:r>
          </w:p>
        </w:tc>
      </w:tr>
      <w:tr>
        <w:trPr>
          <w:trHeight w:val="144"/>
        </w:trPr>
        <w:tc>
          <w:tcPr>
            <w:tcW w:w="10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-649605</wp:posOffset>
            </wp:positionV>
            <wp:extent cx="717804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-455295</wp:posOffset>
            </wp:positionV>
            <wp:extent cx="717804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-272415</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-89535</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40" w:space="720"/>
            <w:col w:w="7940"/>
          </w:cols>
          <w:pgMar w:left="300" w:top="775" w:right="299" w:bottom="1440" w:gutter="0" w:footer="0" w:header="0"/>
        </w:sectPr>
      </w:pPr>
    </w:p>
    <w:tbl>
      <w:tblPr>
        <w:tblLayout w:type="fixed"/>
        <w:tblInd w:w="0" w:type="dxa"/>
        <w:tblCellMar>
          <w:top w:w="0" w:type="dxa"/>
          <w:left w:w="0" w:type="dxa"/>
          <w:bottom w:w="0" w:type="dxa"/>
          <w:right w:w="0" w:type="dxa"/>
        </w:tblCellMar>
      </w:tblPr>
      <w:tr>
        <w:trPr>
          <w:trHeight w:val="135"/>
        </w:trPr>
        <w:tc>
          <w:tcPr>
            <w:tcW w:w="43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costs and operating expenses</w:t>
            </w:r>
          </w:p>
        </w:tc>
        <w:tc>
          <w:tcPr>
            <w:tcW w:w="5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197,541</w:t>
            </w:r>
          </w:p>
        </w:tc>
        <w:tc>
          <w:tcPr>
            <w:tcW w:w="1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167,885</w:t>
            </w:r>
          </w:p>
        </w:tc>
        <w:tc>
          <w:tcPr>
            <w:tcW w:w="1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545,385</w:t>
            </w:r>
          </w:p>
        </w:tc>
        <w:tc>
          <w:tcPr>
            <w:tcW w:w="1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453,221</w:t>
            </w:r>
          </w:p>
        </w:tc>
      </w:tr>
      <w:tr>
        <w:trPr>
          <w:trHeight w:val="142"/>
        </w:trPr>
        <w:tc>
          <w:tcPr>
            <w:tcW w:w="4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Income from operations</w:t>
            </w:r>
          </w:p>
        </w:tc>
        <w:tc>
          <w:tcPr>
            <w:tcW w:w="5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52,759</w:t>
            </w:r>
          </w:p>
        </w:tc>
        <w:tc>
          <w:tcPr>
            <w:tcW w:w="14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32,253</w:t>
            </w:r>
          </w:p>
        </w:tc>
        <w:tc>
          <w:tcPr>
            <w:tcW w:w="14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60,771</w:t>
            </w:r>
          </w:p>
        </w:tc>
        <w:tc>
          <w:tcPr>
            <w:tcW w:w="1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12,260</w:t>
            </w:r>
          </w:p>
        </w:tc>
      </w:tr>
      <w:tr>
        <w:trPr>
          <w:trHeight w:val="122"/>
        </w:trPr>
        <w:tc>
          <w:tcPr>
            <w:tcW w:w="4380" w:type="dxa"/>
            <w:vAlign w:val="bottom"/>
          </w:tcPr>
          <w:p>
            <w:pPr>
              <w:spacing w:after="0" w:line="122" w:lineRule="exact"/>
              <w:rPr>
                <w:sz w:val="20"/>
                <w:szCs w:val="20"/>
                <w:color w:val="auto"/>
              </w:rPr>
            </w:pPr>
            <w:r>
              <w:rPr>
                <w:rFonts w:ascii="Arial" w:cs="Arial" w:eastAsia="Arial" w:hAnsi="Arial"/>
                <w:sz w:val="11"/>
                <w:szCs w:val="11"/>
                <w:color w:val="auto"/>
              </w:rPr>
              <w:t>Other (expense) income:</w:t>
            </w: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
        </w:trPr>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4"/>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(2,986)</w:t>
            </w:r>
          </w:p>
        </w:tc>
      </w:tr>
      <w:tr>
        <w:trPr>
          <w:trHeight w:val="143"/>
        </w:trPr>
        <w:tc>
          <w:tcPr>
            <w:tcW w:w="4380" w:type="dxa"/>
            <w:vAlign w:val="bottom"/>
          </w:tcPr>
          <w:p>
            <w:pPr>
              <w:spacing w:after="0"/>
              <w:rPr>
                <w:sz w:val="20"/>
                <w:szCs w:val="20"/>
                <w:color w:val="auto"/>
              </w:rPr>
            </w:pPr>
            <w:r>
              <w:rPr>
                <w:rFonts w:ascii="Arial" w:cs="Arial" w:eastAsia="Arial" w:hAnsi="Arial"/>
                <w:sz w:val="11"/>
                <w:szCs w:val="11"/>
                <w:color w:val="auto"/>
              </w:rPr>
              <w:t>Interest income</w:t>
            </w:r>
          </w:p>
        </w:tc>
        <w:tc>
          <w:tcPr>
            <w:tcW w:w="5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506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769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2,077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4,792</w:t>
            </w: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(Loss) gain from remeasurement of foreign currency</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6,897</w:t>
            </w:r>
          </w:p>
        </w:tc>
      </w:tr>
      <w:tr>
        <w:trPr>
          <w:trHeight w:val="143"/>
        </w:trPr>
        <w:tc>
          <w:tcPr>
            <w:tcW w:w="4380" w:type="dxa"/>
            <w:vAlign w:val="bottom"/>
          </w:tcPr>
          <w:p>
            <w:pPr>
              <w:spacing w:after="0"/>
              <w:rPr>
                <w:sz w:val="20"/>
                <w:szCs w:val="20"/>
                <w:color w:val="auto"/>
              </w:rPr>
            </w:pPr>
            <w:r>
              <w:rPr>
                <w:rFonts w:ascii="Arial" w:cs="Arial" w:eastAsia="Arial" w:hAnsi="Arial"/>
                <w:sz w:val="11"/>
                <w:szCs w:val="11"/>
                <w:color w:val="auto"/>
              </w:rPr>
              <w:t>Gain on available-for-sale debt securities</w:t>
            </w:r>
          </w:p>
        </w:tc>
        <w:tc>
          <w:tcPr>
            <w:tcW w:w="5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166</w:t>
            </w:r>
          </w:p>
        </w:tc>
      </w:tr>
      <w:tr>
        <w:trPr>
          <w:trHeight w:val="134"/>
        </w:trPr>
        <w:tc>
          <w:tcPr>
            <w:tcW w:w="43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Total other (expense) income, net</w:t>
            </w:r>
          </w:p>
        </w:tc>
        <w:tc>
          <w:tcPr>
            <w:tcW w:w="5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(1,054)</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954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8,869</w:t>
            </w:r>
          </w:p>
        </w:tc>
      </w:tr>
      <w:tr>
        <w:trPr>
          <w:trHeight w:val="137"/>
        </w:trPr>
        <w:tc>
          <w:tcPr>
            <w:tcW w:w="4380" w:type="dxa"/>
            <w:vAlign w:val="bottom"/>
          </w:tcPr>
          <w:p>
            <w:pPr>
              <w:spacing w:after="0" w:line="122" w:lineRule="exact"/>
              <w:rPr>
                <w:sz w:val="20"/>
                <w:szCs w:val="20"/>
                <w:color w:val="auto"/>
              </w:rPr>
            </w:pPr>
            <w:r>
              <w:rPr>
                <w:rFonts w:ascii="Arial" w:cs="Arial" w:eastAsia="Arial" w:hAnsi="Arial"/>
                <w:sz w:val="11"/>
                <w:szCs w:val="11"/>
                <w:color w:val="auto"/>
              </w:rPr>
              <w:t>Income before income taxes</w:t>
            </w:r>
          </w:p>
        </w:tc>
        <w:tc>
          <w:tcPr>
            <w:tcW w:w="5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52,354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31,199</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61,725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21,129</w:t>
            </w:r>
          </w:p>
        </w:tc>
      </w:tr>
      <w:tr>
        <w:trPr>
          <w:trHeight w:val="167"/>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(Benefit from) provision for income taxes</w:t>
            </w: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(22,189)</w:t>
            </w:r>
          </w:p>
        </w:tc>
        <w:tc>
          <w:tcPr>
            <w:tcW w:w="14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1,568</w:t>
            </w:r>
          </w:p>
        </w:tc>
        <w:tc>
          <w:tcPr>
            <w:tcW w:w="14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(17,189)</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7,665</w:t>
            </w:r>
          </w:p>
        </w:tc>
      </w:tr>
      <w:tr>
        <w:trPr>
          <w:trHeight w:val="137"/>
        </w:trPr>
        <w:tc>
          <w:tcPr>
            <w:tcW w:w="43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74,543</w:t>
            </w:r>
          </w:p>
        </w:tc>
        <w:tc>
          <w:tcPr>
            <w:tcW w:w="140" w:type="dxa"/>
            <w:vAlign w:val="bottom"/>
          </w:tcPr>
          <w:p>
            <w:pPr>
              <w:spacing w:after="0"/>
              <w:rPr>
                <w:sz w:val="11"/>
                <w:szCs w:val="11"/>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29,631</w:t>
            </w:r>
          </w:p>
        </w:tc>
        <w:tc>
          <w:tcPr>
            <w:tcW w:w="140" w:type="dxa"/>
            <w:vAlign w:val="bottom"/>
          </w:tcPr>
          <w:p>
            <w:pPr>
              <w:spacing w:after="0"/>
              <w:rPr>
                <w:sz w:val="11"/>
                <w:szCs w:val="11"/>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78,914</w:t>
            </w:r>
          </w:p>
        </w:tc>
        <w:tc>
          <w:tcPr>
            <w:tcW w:w="120" w:type="dxa"/>
            <w:vAlign w:val="bottom"/>
          </w:tcPr>
          <w:p>
            <w:pPr>
              <w:spacing w:after="0"/>
              <w:rPr>
                <w:sz w:val="11"/>
                <w:szCs w:val="11"/>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13,464</w:t>
            </w:r>
          </w:p>
        </w:tc>
      </w:tr>
      <w:tr>
        <w:trPr>
          <w:trHeight w:val="149"/>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 adjustment</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(1,917)</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3,152</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7,415</w:t>
            </w:r>
          </w:p>
        </w:tc>
      </w:tr>
      <w:tr>
        <w:trPr>
          <w:trHeight w:val="143"/>
        </w:trPr>
        <w:tc>
          <w:tcPr>
            <w:tcW w:w="43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Unrealized (losses) gains on available-for-sale debt securities, net of taxes</w:t>
            </w: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w:t>
            </w:r>
          </w:p>
        </w:tc>
      </w:tr>
      <w:tr>
        <w:trPr>
          <w:trHeight w:val="134"/>
        </w:trPr>
        <w:tc>
          <w:tcPr>
            <w:tcW w:w="43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Total other comprehensive income (loss)</w:t>
            </w:r>
          </w:p>
        </w:tc>
        <w:tc>
          <w:tcPr>
            <w:tcW w:w="5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14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(1,897)</w:t>
            </w:r>
          </w:p>
        </w:tc>
        <w:tc>
          <w:tcPr>
            <w:tcW w:w="14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3,098</w:t>
            </w:r>
          </w:p>
        </w:tc>
        <w:tc>
          <w:tcPr>
            <w:tcW w:w="12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7,270</w:t>
            </w:r>
          </w:p>
        </w:tc>
      </w:tr>
      <w:tr>
        <w:trPr>
          <w:trHeight w:val="131"/>
        </w:trPr>
        <w:tc>
          <w:tcPr>
            <w:tcW w:w="438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Comprehensive income</w:t>
            </w:r>
          </w:p>
        </w:tc>
        <w:tc>
          <w:tcPr>
            <w:tcW w:w="54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75,712</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406"/>
              <w:spacing w:after="0" w:line="115" w:lineRule="exact"/>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27,734</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406"/>
              <w:spacing w:after="0" w:line="115" w:lineRule="exact"/>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82,012</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426"/>
              <w:spacing w:after="0" w:line="115" w:lineRule="exact"/>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20,734</w:t>
            </w:r>
          </w:p>
        </w:tc>
      </w:tr>
      <w:tr>
        <w:trPr>
          <w:trHeight w:val="144"/>
        </w:trPr>
        <w:tc>
          <w:tcPr>
            <w:tcW w:w="43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Net income attributable to common stockholders – basic and diluted</w:t>
            </w: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74,543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29,631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78,914</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13,464</w:t>
            </w:r>
          </w:p>
        </w:tc>
      </w:tr>
      <w:tr>
        <w:trPr>
          <w:trHeight w:val="157"/>
        </w:trPr>
        <w:tc>
          <w:tcPr>
            <w:tcW w:w="4380" w:type="dxa"/>
            <w:vAlign w:val="bottom"/>
          </w:tcPr>
          <w:p>
            <w:pPr>
              <w:spacing w:after="0"/>
              <w:rPr>
                <w:sz w:val="20"/>
                <w:szCs w:val="20"/>
                <w:color w:val="auto"/>
              </w:rPr>
            </w:pPr>
            <w:r>
              <w:rPr>
                <w:rFonts w:ascii="Arial" w:cs="Arial" w:eastAsia="Arial" w:hAnsi="Arial"/>
                <w:sz w:val="11"/>
                <w:szCs w:val="11"/>
                <w:color w:val="auto"/>
              </w:rPr>
              <w:t>Net income per share attributable to common stockholders – basic</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0.61</w:t>
            </w:r>
          </w:p>
        </w:tc>
        <w:tc>
          <w:tcPr>
            <w:tcW w:w="140" w:type="dxa"/>
            <w:vAlign w:val="bottom"/>
          </w:tcPr>
          <w:p>
            <w:pPr>
              <w:spacing w:after="0"/>
              <w:rPr>
                <w:sz w:val="13"/>
                <w:szCs w:val="13"/>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0.24</w:t>
            </w:r>
          </w:p>
        </w:tc>
        <w:tc>
          <w:tcPr>
            <w:tcW w:w="140" w:type="dxa"/>
            <w:vAlign w:val="bottom"/>
          </w:tcPr>
          <w:p>
            <w:pPr>
              <w:spacing w:after="0"/>
              <w:rPr>
                <w:sz w:val="13"/>
                <w:szCs w:val="13"/>
                <w:color w:val="auto"/>
              </w:rPr>
            </w:pPr>
          </w:p>
        </w:tc>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0.65</w:t>
            </w:r>
          </w:p>
        </w:tc>
        <w:tc>
          <w:tcPr>
            <w:tcW w:w="120" w:type="dxa"/>
            <w:vAlign w:val="bottom"/>
          </w:tcPr>
          <w:p>
            <w:pPr>
              <w:spacing w:after="0"/>
              <w:rPr>
                <w:sz w:val="13"/>
                <w:szCs w:val="13"/>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0.11</w:t>
            </w:r>
          </w:p>
        </w:tc>
      </w:tr>
      <w:tr>
        <w:trPr>
          <w:trHeight w:val="167"/>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share attributable to common stockholders – diluted</w:t>
            </w: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0.57</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0.61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0.11</w:t>
            </w:r>
          </w:p>
        </w:tc>
      </w:tr>
      <w:tr>
        <w:trPr>
          <w:trHeight w:val="157"/>
        </w:trPr>
        <w:tc>
          <w:tcPr>
            <w:tcW w:w="4380" w:type="dxa"/>
            <w:vAlign w:val="bottom"/>
          </w:tcPr>
          <w:p>
            <w:pPr>
              <w:spacing w:after="0"/>
              <w:rPr>
                <w:sz w:val="20"/>
                <w:szCs w:val="20"/>
                <w:color w:val="auto"/>
              </w:rPr>
            </w:pPr>
            <w:r>
              <w:rPr>
                <w:rFonts w:ascii="Arial" w:cs="Arial" w:eastAsia="Arial" w:hAnsi="Arial"/>
                <w:sz w:val="11"/>
                <w:szCs w:val="11"/>
                <w:color w:val="auto"/>
              </w:rPr>
              <w:t>Weighted average common shares outstanding – basic</w:t>
            </w: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121,956,220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122,434,615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122,177,966</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122,504,476</w:t>
            </w:r>
          </w:p>
        </w:tc>
      </w:tr>
      <w:tr>
        <w:trPr>
          <w:trHeight w:val="168"/>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 – diluted</w:t>
            </w: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129,703,126</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127,675,613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129,002,208</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127,495,177</w:t>
            </w:r>
          </w:p>
        </w:tc>
      </w:tr>
    </w:tbl>
    <w:p>
      <w:pPr>
        <w:sectPr>
          <w:pgSz w:w="11900" w:h="16838" w:orient="portrait"/>
          <w:cols w:equalWidth="0" w:num="1">
            <w:col w:w="11300"/>
          </w:cols>
          <w:pgMar w:left="300" w:top="775" w:right="29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(Amounts in thousands, except par value per share and share amounts)</w:t>
      </w:r>
    </w:p>
    <w:p>
      <w:pPr>
        <w:sectPr>
          <w:pgSz w:w="11900" w:h="16838" w:orient="portrait"/>
          <w:cols w:equalWidth="0" w:num="1">
            <w:col w:w="11300"/>
          </w:cols>
          <w:pgMar w:left="300" w:top="775" w:right="299" w:bottom="1440" w:gutter="0" w:footer="0" w:header="0"/>
        </w:sect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7804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6" w:lineRule="exact"/>
        <w:rPr>
          <w:sz w:val="20"/>
          <w:szCs w:val="20"/>
          <w:color w:val="auto"/>
        </w:rPr>
      </w:pPr>
    </w:p>
    <w:p>
      <w:pPr>
        <w:spacing w:after="0"/>
        <w:tabs>
          <w:tab w:leader="none" w:pos="7840" w:val="left"/>
        </w:tabs>
        <w:rPr>
          <w:sz w:val="20"/>
          <w:szCs w:val="20"/>
          <w:color w:val="auto"/>
        </w:rPr>
      </w:pPr>
      <w:r>
        <w:rPr>
          <w:rFonts w:ascii="Arial" w:cs="Arial" w:eastAsia="Arial" w:hAnsi="Arial"/>
          <w:sz w:val="11"/>
          <w:szCs w:val="11"/>
          <w:color w:val="auto"/>
        </w:rPr>
        <w:t>Cash and cash equivalents</w:t>
      </w:r>
      <w:r>
        <w:rPr>
          <w:sz w:val="20"/>
          <w:szCs w:val="20"/>
          <w:color w:val="auto"/>
        </w:rPr>
        <w:tab/>
      </w:r>
      <w:r>
        <w:rPr>
          <w:rFonts w:ascii="Arial" w:cs="Arial" w:eastAsia="Arial" w:hAnsi="Arial"/>
          <w:sz w:val="10"/>
          <w:szCs w:val="10"/>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Accounts receivable, net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Unbilled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Funds receivable from payment partners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Total 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Intangible assets, net</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Other assets</w:t>
      </w:r>
    </w:p>
    <w:p>
      <w:pPr>
        <w:spacing w:after="0" w:line="36" w:lineRule="exact"/>
        <w:rPr>
          <w:sz w:val="20"/>
          <w:szCs w:val="20"/>
          <w:color w:val="auto"/>
        </w:rPr>
      </w:pPr>
    </w:p>
    <w:p>
      <w:pPr>
        <w:spacing w:after="0"/>
        <w:tabs>
          <w:tab w:leader="none" w:pos="7840" w:val="left"/>
        </w:tabs>
        <w:rPr>
          <w:sz w:val="20"/>
          <w:szCs w:val="20"/>
          <w:color w:val="auto"/>
        </w:rPr>
      </w:pPr>
      <w:r>
        <w:rPr>
          <w:rFonts w:ascii="Arial" w:cs="Arial" w:eastAsia="Arial" w:hAnsi="Arial"/>
          <w:sz w:val="11"/>
          <w:szCs w:val="11"/>
          <w:color w:val="auto"/>
        </w:rPr>
        <w:t>Total assets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7804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Liabilities and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tabs>
          <w:tab w:leader="none" w:pos="7840" w:val="left"/>
        </w:tabs>
        <w:rPr>
          <w:sz w:val="20"/>
          <w:szCs w:val="20"/>
          <w:color w:val="auto"/>
        </w:rPr>
      </w:pPr>
      <w:r>
        <w:rPr>
          <w:rFonts w:ascii="Arial" w:cs="Arial" w:eastAsia="Arial" w:hAnsi="Arial"/>
          <w:sz w:val="11"/>
          <w:szCs w:val="11"/>
          <w:color w:val="auto"/>
        </w:rPr>
        <w:t>Accounts payable</w:t>
      </w:r>
      <w:r>
        <w:rPr>
          <w:sz w:val="20"/>
          <w:szCs w:val="20"/>
          <w:color w:val="auto"/>
        </w:rPr>
        <w:tab/>
      </w:r>
      <w:r>
        <w:rPr>
          <w:rFonts w:ascii="Arial" w:cs="Arial" w:eastAsia="Arial" w:hAnsi="Arial"/>
          <w:sz w:val="10"/>
          <w:szCs w:val="10"/>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Funds payable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Accrued expenses and other current liabilities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Total current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Other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Preferred stock, $0.0001 par value; 10,000,000 shares authorized, none issued and outstanding as of September 30, 2026 and December 31, 2025</w:t>
      </w:r>
    </w:p>
    <w:p>
      <w:pPr>
        <w:spacing w:after="0" w:line="36" w:lineRule="exact"/>
        <w:rPr>
          <w:sz w:val="20"/>
          <w:szCs w:val="20"/>
          <w:color w:val="auto"/>
        </w:rPr>
      </w:pPr>
    </w:p>
    <w:p>
      <w:pPr>
        <w:ind w:right="180"/>
        <w:spacing w:after="0" w:line="268" w:lineRule="auto"/>
        <w:rPr>
          <w:sz w:val="20"/>
          <w:szCs w:val="20"/>
          <w:color w:val="auto"/>
        </w:rPr>
      </w:pPr>
      <w:r>
        <w:rPr>
          <w:rFonts w:ascii="Arial" w:cs="Arial" w:eastAsia="Arial" w:hAnsi="Arial"/>
          <w:sz w:val="11"/>
          <w:szCs w:val="11"/>
          <w:color w:val="auto"/>
        </w:rPr>
        <w:t>Voting common stock, $0.0001 par value; 2,000,000,000 shares authorized, 134,837,558 shares issued and 122,494,955 shares outstanding as of September 30, 2026; 130,335,519 shares issued and 120,086,090 shares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88595"/>
                    </a:xfrm>
                    <a:prstGeom prst="rect">
                      <a:avLst/>
                    </a:prstGeom>
                    <a:noFill/>
                  </pic:spPr>
                </pic:pic>
              </a:graphicData>
            </a:graphic>
          </wp:anchor>
        </w:drawing>
      </w:r>
    </w:p>
    <w:p>
      <w:pPr>
        <w:ind w:right="100"/>
        <w:spacing w:after="0" w:line="268" w:lineRule="auto"/>
        <w:rPr>
          <w:sz w:val="20"/>
          <w:szCs w:val="20"/>
          <w:color w:val="auto"/>
        </w:rPr>
      </w:pPr>
      <w:r>
        <w:rPr>
          <w:rFonts w:ascii="Arial" w:cs="Arial" w:eastAsia="Arial" w:hAnsi="Arial"/>
          <w:sz w:val="11"/>
          <w:szCs w:val="11"/>
          <w:color w:val="auto"/>
        </w:rPr>
        <w:t>Non-voting common stock, $0.0001 par value; 10,000,000 shares authorized, none issued and outstanding as of September 30, 2026, and 1,873,320 shares issued and outstanding as of December 31, 2025, respectively</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Treasury voting common stock, at cost; 12,342,603 and 10,249,429 shares as of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Additional paid-in capital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Accumulated deficit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jc w:val="right"/>
              <w:ind w:right="546"/>
              <w:spacing w:after="0"/>
              <w:rPr>
                <w:sz w:val="20"/>
                <w:szCs w:val="20"/>
                <w:color w:val="auto"/>
              </w:rPr>
            </w:pPr>
            <w:r>
              <w:rPr>
                <w:rFonts w:ascii="Arial" w:cs="Arial" w:eastAsia="Arial" w:hAnsi="Arial"/>
                <w:sz w:val="11"/>
                <w:szCs w:val="11"/>
                <w:b w:val="1"/>
                <w:bCs w:val="1"/>
                <w:color w:val="auto"/>
                <w:w w:val="95"/>
              </w:rPr>
              <w:t>September 30,</w:t>
            </w:r>
          </w:p>
        </w:tc>
        <w:tc>
          <w:tcPr>
            <w:tcW w:w="260" w:type="dxa"/>
            <w:vAlign w:val="bottom"/>
          </w:tcPr>
          <w:p>
            <w:pPr>
              <w:spacing w:after="0"/>
              <w:rPr>
                <w:sz w:val="10"/>
                <w:szCs w:val="10"/>
                <w:color w:val="auto"/>
              </w:rPr>
            </w:pPr>
          </w:p>
        </w:tc>
        <w:tc>
          <w:tcPr>
            <w:tcW w:w="1400" w:type="dxa"/>
            <w:vAlign w:val="bottom"/>
          </w:tcPr>
          <w:p>
            <w:pPr>
              <w:jc w:val="right"/>
              <w:ind w:right="426"/>
              <w:spacing w:after="0"/>
              <w:rPr>
                <w:sz w:val="20"/>
                <w:szCs w:val="20"/>
                <w:color w:val="auto"/>
              </w:rPr>
            </w:pPr>
            <w:r>
              <w:rPr>
                <w:rFonts w:ascii="Arial" w:cs="Arial" w:eastAsia="Arial" w:hAnsi="Arial"/>
                <w:sz w:val="11"/>
                <w:szCs w:val="11"/>
                <w:b w:val="1"/>
                <w:bCs w:val="1"/>
                <w:color w:val="auto"/>
              </w:rPr>
              <w:t>December 31,</w:t>
            </w:r>
          </w:p>
        </w:tc>
      </w:tr>
      <w:tr>
        <w:trPr>
          <w:trHeight w:val="150"/>
        </w:trPr>
        <w:tc>
          <w:tcPr>
            <w:tcW w:w="1340" w:type="dxa"/>
            <w:vAlign w:val="bottom"/>
          </w:tcPr>
          <w:p>
            <w:pPr>
              <w:jc w:val="right"/>
              <w:ind w:right="806"/>
              <w:spacing w:after="0"/>
              <w:rPr>
                <w:sz w:val="20"/>
                <w:szCs w:val="20"/>
                <w:color w:val="auto"/>
              </w:rPr>
            </w:pPr>
            <w:r>
              <w:rPr>
                <w:rFonts w:ascii="Arial" w:cs="Arial" w:eastAsia="Arial" w:hAnsi="Arial"/>
                <w:sz w:val="11"/>
                <w:szCs w:val="11"/>
                <w:b w:val="1"/>
                <w:bCs w:val="1"/>
                <w:color w:val="auto"/>
              </w:rPr>
              <w:t>2026</w:t>
            </w: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2025</w:t>
            </w:r>
          </w:p>
        </w:tc>
      </w:tr>
      <w:tr>
        <w:trPr>
          <w:trHeight w:val="448"/>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407,173</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330,303</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3,043</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24,692</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48,294</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34,776</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19,305</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20,522</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158,772</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155,455</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47,436</w:t>
            </w: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36,540</w:t>
            </w:r>
          </w:p>
        </w:tc>
      </w:tr>
      <w:tr>
        <w:trPr>
          <w:trHeight w:val="133"/>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684,023</w:t>
            </w:r>
          </w:p>
        </w:tc>
        <w:tc>
          <w:tcPr>
            <w:tcW w:w="260" w:type="dxa"/>
            <w:vAlign w:val="bottom"/>
          </w:tcPr>
          <w:p>
            <w:pPr>
              <w:spacing w:after="0"/>
              <w:rPr>
                <w:sz w:val="11"/>
                <w:szCs w:val="11"/>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602,288</w:t>
            </w:r>
          </w:p>
        </w:tc>
      </w:tr>
      <w:tr>
        <w:trPr>
          <w:trHeight w:val="153"/>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29,089</w:t>
            </w:r>
          </w:p>
        </w:tc>
        <w:tc>
          <w:tcPr>
            <w:tcW w:w="26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22,125</w:t>
            </w:r>
          </w:p>
        </w:tc>
      </w:tr>
      <w:tr>
        <w:trPr>
          <w:trHeight w:val="162"/>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177,229</w:t>
            </w:r>
          </w:p>
        </w:tc>
        <w:tc>
          <w:tcPr>
            <w:tcW w:w="26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189,050</w:t>
            </w:r>
          </w:p>
        </w:tc>
      </w:tr>
      <w:tr>
        <w:trPr>
          <w:trHeight w:val="162"/>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407,646</w:t>
            </w:r>
          </w:p>
        </w:tc>
        <w:tc>
          <w:tcPr>
            <w:tcW w:w="26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406,507</w:t>
            </w:r>
          </w:p>
        </w:tc>
      </w:tr>
      <w:tr>
        <w:trPr>
          <w:trHeight w:val="162"/>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72,326</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33,343</w:t>
            </w:r>
          </w:p>
        </w:tc>
      </w:tr>
      <w:tr>
        <w:trPr>
          <w:trHeight w:val="143"/>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1,370,313</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1,253,313</w:t>
            </w:r>
          </w:p>
        </w:tc>
      </w:tr>
      <w:tr>
        <w:trPr>
          <w:trHeight w:val="20"/>
        </w:trPr>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07"/>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21,420</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15,298</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334,974</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310,799</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67,788</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55,715</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23,100</w:t>
            </w: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19,951</w:t>
            </w:r>
          </w:p>
        </w:tc>
      </w:tr>
      <w:tr>
        <w:trPr>
          <w:trHeight w:val="133"/>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447,282</w:t>
            </w:r>
          </w:p>
        </w:tc>
        <w:tc>
          <w:tcPr>
            <w:tcW w:w="260" w:type="dxa"/>
            <w:vAlign w:val="bottom"/>
          </w:tcPr>
          <w:p>
            <w:pPr>
              <w:spacing w:after="0"/>
              <w:rPr>
                <w:sz w:val="11"/>
                <w:szCs w:val="11"/>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401,763</w:t>
            </w:r>
          </w:p>
        </w:tc>
      </w:tr>
      <w:tr>
        <w:trPr>
          <w:trHeight w:val="153"/>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11,015</w:t>
            </w:r>
          </w:p>
        </w:tc>
        <w:tc>
          <w:tcPr>
            <w:tcW w:w="26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12,900</w:t>
            </w:r>
          </w:p>
        </w:tc>
      </w:tr>
      <w:tr>
        <w:trPr>
          <w:trHeight w:val="162"/>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2,618</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3,479</w:t>
            </w:r>
          </w:p>
        </w:tc>
      </w:tr>
      <w:tr>
        <w:trPr>
          <w:trHeight w:val="148"/>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460,915</w:t>
            </w: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418,142</w:t>
            </w:r>
          </w:p>
        </w:tc>
      </w:tr>
      <w:tr>
        <w:trPr>
          <w:trHeight w:val="461"/>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5"/>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13</w:t>
            </w:r>
          </w:p>
        </w:tc>
        <w:tc>
          <w:tcPr>
            <w:tcW w:w="260" w:type="dxa"/>
            <w:vAlign w:val="bottom"/>
          </w:tcPr>
          <w:p>
            <w:pPr>
              <w:spacing w:after="0"/>
              <w:rPr>
                <w:sz w:val="19"/>
                <w:szCs w:val="19"/>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13</w:t>
            </w:r>
          </w:p>
        </w:tc>
      </w:tr>
      <w:tr>
        <w:trPr>
          <w:trHeight w:val="297"/>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34"/>
        </w:trPr>
        <w:tc>
          <w:tcPr>
            <w:tcW w:w="1340" w:type="dxa"/>
            <w:vAlign w:val="bottom"/>
          </w:tcPr>
          <w:p>
            <w:pPr>
              <w:jc w:val="right"/>
              <w:ind w:right="106"/>
              <w:spacing w:after="0"/>
              <w:rPr>
                <w:sz w:val="20"/>
                <w:szCs w:val="20"/>
                <w:color w:val="auto"/>
              </w:rPr>
            </w:pPr>
            <w:r>
              <w:rPr>
                <w:rFonts w:ascii="Arial" w:cs="Arial" w:eastAsia="Arial" w:hAnsi="Arial"/>
                <w:sz w:val="11"/>
                <w:szCs w:val="11"/>
                <w:color w:val="auto"/>
              </w:rPr>
              <w:t>(147,828)</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(118,636)</w:t>
            </w:r>
          </w:p>
        </w:tc>
      </w:tr>
      <w:tr>
        <w:trPr>
          <w:trHeight w:val="153"/>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1,130,086</w:t>
            </w:r>
          </w:p>
        </w:tc>
        <w:tc>
          <w:tcPr>
            <w:tcW w:w="26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1,108,679</w:t>
            </w:r>
          </w:p>
        </w:tc>
      </w:tr>
      <w:tr>
        <w:trPr>
          <w:trHeight w:val="144"/>
        </w:trPr>
        <w:tc>
          <w:tcPr>
            <w:tcW w:w="1340" w:type="dxa"/>
            <w:vAlign w:val="bottom"/>
          </w:tcPr>
          <w:p>
            <w:pPr>
              <w:jc w:val="right"/>
              <w:ind w:right="146"/>
              <w:spacing w:after="0"/>
              <w:rPr>
                <w:sz w:val="20"/>
                <w:szCs w:val="20"/>
                <w:color w:val="auto"/>
              </w:rPr>
            </w:pPr>
            <w:r>
              <w:rPr>
                <w:rFonts w:ascii="Arial" w:cs="Arial" w:eastAsia="Arial" w:hAnsi="Arial"/>
                <w:sz w:val="11"/>
                <w:szCs w:val="11"/>
                <w:color w:val="auto"/>
              </w:rPr>
              <w:t>5,586</w:t>
            </w:r>
          </w:p>
        </w:tc>
        <w:tc>
          <w:tcPr>
            <w:tcW w:w="26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2,488</w:t>
            </w:r>
          </w:p>
        </w:tc>
      </w:tr>
      <w:tr>
        <w:trPr>
          <w:trHeight w:val="144"/>
        </w:trPr>
        <w:tc>
          <w:tcPr>
            <w:tcW w:w="1340" w:type="dxa"/>
            <w:vAlign w:val="bottom"/>
          </w:tcPr>
          <w:p>
            <w:pPr>
              <w:jc w:val="right"/>
              <w:ind w:right="106"/>
              <w:spacing w:after="0"/>
              <w:rPr>
                <w:sz w:val="20"/>
                <w:szCs w:val="20"/>
                <w:color w:val="auto"/>
              </w:rPr>
            </w:pPr>
            <w:r>
              <w:rPr>
                <w:rFonts w:ascii="Arial" w:cs="Arial" w:eastAsia="Arial" w:hAnsi="Arial"/>
                <w:sz w:val="11"/>
                <w:szCs w:val="11"/>
                <w:color w:val="auto"/>
              </w:rPr>
              <w:t>(78,459)</w:t>
            </w:r>
          </w:p>
        </w:tc>
        <w:tc>
          <w:tcPr>
            <w:tcW w:w="2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(157,373)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-1163955</wp:posOffset>
            </wp:positionV>
            <wp:extent cx="10515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1560" cy="571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-2038350</wp:posOffset>
            </wp:positionV>
            <wp:extent cx="10515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1560" cy="571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-2135505</wp:posOffset>
            </wp:positionV>
            <wp:extent cx="10515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1560" cy="5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20" w:space="380"/>
            <w:col w:w="3000"/>
          </w:cols>
          <w:pgMar w:left="300" w:top="775"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7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stockholders’ equity</w:t>
            </w:r>
          </w:p>
        </w:tc>
        <w:tc>
          <w:tcPr>
            <w:tcW w:w="6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909,398</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835,171</w:t>
            </w:r>
          </w:p>
        </w:tc>
      </w:tr>
      <w:tr>
        <w:trPr>
          <w:trHeight w:val="149"/>
        </w:trPr>
        <w:tc>
          <w:tcPr>
            <w:tcW w:w="784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Total liabilities and stockholders’ equity</w:t>
            </w:r>
          </w:p>
        </w:tc>
        <w:tc>
          <w:tcPr>
            <w:tcW w:w="60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1,370,313</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1,253,313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-22225</wp:posOffset>
            </wp:positionV>
            <wp:extent cx="857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-119380</wp:posOffset>
            </wp:positionV>
            <wp:extent cx="857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type w:val="continuous"/>
        </w:sectPr>
      </w:pPr>
    </w:p>
    <w:bookmarkStart w:id="15" w:name="page16"/>
    <w:bookmarkEnd w:id="15"/>
    <w:p>
      <w:pPr>
        <w:jc w:val="center"/>
        <w:ind w:right="20"/>
        <w:spacing w:after="0"/>
        <w:rPr>
          <w:sz w:val="20"/>
          <w:szCs w:val="20"/>
          <w:color w:val="auto"/>
        </w:rPr>
      </w:pPr>
      <w:r>
        <w:rPr>
          <w:rFonts w:ascii="Arial" w:cs="Arial" w:eastAsia="Arial" w:hAnsi="Arial"/>
          <w:sz w:val="12"/>
          <w:szCs w:val="12"/>
          <w:b w:val="1"/>
          <w:bCs w:val="1"/>
          <w:color w:val="auto"/>
        </w:rPr>
        <w:t>Condensed Consolidated Statement of Cash Flows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(Amounts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r>
      <w:tr>
        <w:trPr>
          <w:trHeight w:val="151"/>
        </w:trPr>
        <w:tc>
          <w:tcPr>
            <w:tcW w:w="78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r>
      <w:tr>
        <w:trPr>
          <w:trHeight w:val="149"/>
        </w:trPr>
        <w:tc>
          <w:tcPr>
            <w:tcW w:w="78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1"/>
                <w:szCs w:val="11"/>
                <w:color w:val="auto"/>
              </w:rPr>
              <w:t>Net income</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78,914</w:t>
            </w:r>
          </w:p>
        </w:tc>
        <w:tc>
          <w:tcPr>
            <w:tcW w:w="140" w:type="dxa"/>
            <w:vAlign w:val="bottom"/>
          </w:tcPr>
          <w:p>
            <w:pPr>
              <w:spacing w:after="0"/>
              <w:rPr>
                <w:sz w:val="13"/>
                <w:szCs w:val="13"/>
                <w:color w:val="auto"/>
              </w:rPr>
            </w:pPr>
          </w:p>
        </w:tc>
        <w:tc>
          <w:tcPr>
            <w:tcW w:w="1060" w:type="dxa"/>
            <w:vAlign w:val="bottom"/>
          </w:tcPr>
          <w:p>
            <w:pPr>
              <w:jc w:val="right"/>
              <w:ind w:right="95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13,464</w:t>
            </w:r>
          </w:p>
        </w:tc>
      </w:tr>
      <w:tr>
        <w:trPr>
          <w:trHeight w:val="148"/>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Unrealized gain from remeasurement of foreign currency</w:t>
            </w:r>
          </w:p>
        </w:tc>
        <w:tc>
          <w:tcPr>
            <w:tcW w:w="10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(4,802)</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(10,458)</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22,657</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19,037</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10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52,097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53,473</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Amortization of deferred contract costs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1,724</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1,167</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Change in fair value of contingent consideration</w:t>
            </w:r>
          </w:p>
        </w:tc>
        <w:tc>
          <w:tcPr>
            <w:tcW w:w="10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1,794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Deferred tax benefit</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(29,187)</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Change in provision for uncollectible accounts</w:t>
            </w:r>
          </w:p>
        </w:tc>
        <w:tc>
          <w:tcPr>
            <w:tcW w:w="10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2,011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1,629</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Amortization of debt issuance costs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296</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173</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Net accretion of discounts and amortization of premiums on investments</w:t>
            </w:r>
          </w:p>
        </w:tc>
        <w:tc>
          <w:tcPr>
            <w:tcW w:w="10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(612)</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Changes in operating assets and liabilities, net of acquisitions: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Accounts receivable</w:t>
            </w:r>
          </w:p>
        </w:tc>
        <w:tc>
          <w:tcPr>
            <w:tcW w:w="10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(15,684)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(11,585)</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Unbilled receivables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1,247</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2,105</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Funds receivable from payment partners</w:t>
            </w:r>
          </w:p>
        </w:tc>
        <w:tc>
          <w:tcPr>
            <w:tcW w:w="10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(1,542)</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(42,686)</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Prepaid expenses, other current assets and other assets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(22,902)</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(21,304)</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Funds payable to clients</w:t>
            </w:r>
          </w:p>
        </w:tc>
        <w:tc>
          <w:tcPr>
            <w:tcW w:w="10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27,167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83,343</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Accounts payable, accrued expenses and other current liabilities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14,441</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7,537</w:t>
            </w:r>
          </w:p>
        </w:tc>
      </w:tr>
      <w:tr>
        <w:trPr>
          <w:trHeight w:val="157"/>
        </w:trPr>
        <w:tc>
          <w:tcPr>
            <w:tcW w:w="7840" w:type="dxa"/>
            <w:vAlign w:val="bottom"/>
          </w:tcPr>
          <w:p>
            <w:pPr>
              <w:spacing w:after="0"/>
              <w:rPr>
                <w:sz w:val="20"/>
                <w:szCs w:val="20"/>
                <w:color w:val="auto"/>
              </w:rPr>
            </w:pPr>
            <w:r>
              <w:rPr>
                <w:rFonts w:ascii="Arial" w:cs="Arial" w:eastAsia="Arial" w:hAnsi="Arial"/>
                <w:sz w:val="11"/>
                <w:szCs w:val="11"/>
                <w:color w:val="auto"/>
              </w:rPr>
              <w:t>Contingent consideration</w:t>
            </w:r>
          </w:p>
        </w:tc>
        <w:tc>
          <w:tcPr>
            <w:tcW w:w="10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149"/>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Other liabilities</w:t>
            </w: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(948)</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2,542</w:t>
            </w:r>
          </w:p>
        </w:tc>
      </w:tr>
      <w:tr>
        <w:trPr>
          <w:trHeight w:val="143"/>
        </w:trPr>
        <w:tc>
          <w:tcPr>
            <w:tcW w:w="7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Deferred revenue</w:t>
            </w:r>
          </w:p>
        </w:tc>
        <w:tc>
          <w:tcPr>
            <w:tcW w:w="10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3,153</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(787)</w:t>
            </w:r>
          </w:p>
        </w:tc>
      </w:tr>
      <w:tr>
        <w:trPr>
          <w:trHeight w:val="134"/>
        </w:trPr>
        <w:tc>
          <w:tcPr>
            <w:tcW w:w="78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Net cash provided by operating activities</w:t>
            </w:r>
          </w:p>
        </w:tc>
        <w:tc>
          <w:tcPr>
            <w:tcW w:w="10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130,417</w:t>
            </w:r>
          </w:p>
        </w:tc>
        <w:tc>
          <w:tcPr>
            <w:tcW w:w="140" w:type="dxa"/>
            <w:vAlign w:val="bottom"/>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95,289</w:t>
            </w:r>
          </w:p>
        </w:tc>
      </w:tr>
      <w:tr>
        <w:trPr>
          <w:trHeight w:val="124"/>
        </w:trPr>
        <w:tc>
          <w:tcPr>
            <w:tcW w:w="7840" w:type="dxa"/>
            <w:vAlign w:val="bottom"/>
          </w:tcPr>
          <w:p>
            <w:pPr>
              <w:spacing w:after="0" w:line="124" w:lineRule="exact"/>
              <w:rPr>
                <w:sz w:val="20"/>
                <w:szCs w:val="20"/>
                <w:color w:val="auto"/>
              </w:rPr>
            </w:pPr>
            <w:r>
              <w:rPr>
                <w:rFonts w:ascii="Arial" w:cs="Arial" w:eastAsia="Arial" w:hAnsi="Arial"/>
                <w:sz w:val="11"/>
                <w:szCs w:val="11"/>
                <w:b w:val="1"/>
                <w:bCs w:val="1"/>
                <w:color w:val="auto"/>
              </w:rPr>
              <w:t>Cash flows from investing activities:</w:t>
            </w: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Acquisitions of businesses, net of cash acquired</w:t>
            </w:r>
          </w:p>
        </w:tc>
        <w:tc>
          <w:tcPr>
            <w:tcW w:w="10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(324,921)</w:t>
            </w:r>
          </w:p>
        </w:tc>
      </w:tr>
      <w:tr>
        <w:trPr>
          <w:trHeight w:val="156"/>
        </w:trPr>
        <w:tc>
          <w:tcPr>
            <w:tcW w:w="7840" w:type="dxa"/>
            <w:vAlign w:val="bottom"/>
          </w:tcPr>
          <w:p>
            <w:pPr>
              <w:spacing w:after="0"/>
              <w:rPr>
                <w:sz w:val="20"/>
                <w:szCs w:val="20"/>
                <w:color w:val="auto"/>
              </w:rPr>
            </w:pPr>
            <w:r>
              <w:rPr>
                <w:rFonts w:ascii="Arial" w:cs="Arial" w:eastAsia="Arial" w:hAnsi="Arial"/>
                <w:sz w:val="11"/>
                <w:szCs w:val="11"/>
                <w:color w:val="auto"/>
              </w:rPr>
              <w:t>Assets acquisition</w:t>
            </w:r>
          </w:p>
        </w:tc>
        <w:tc>
          <w:tcPr>
            <w:tcW w:w="10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(3,229)</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0"/>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Purchase of short-term and long-term investments</w:t>
            </w:r>
          </w:p>
        </w:tc>
        <w:tc>
          <w:tcPr>
            <w:tcW w:w="10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(14,199)</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Proceeds from the maturity and sale of short-term and long-term investments</w:t>
            </w:r>
          </w:p>
        </w:tc>
        <w:tc>
          <w:tcPr>
            <w:tcW w:w="10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21,401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154,725</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Capitalization of internally developed software</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(10,068)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(5,813)</w:t>
            </w:r>
          </w:p>
        </w:tc>
      </w:tr>
      <w:tr>
        <w:trPr>
          <w:trHeight w:val="143"/>
        </w:trPr>
        <w:tc>
          <w:tcPr>
            <w:tcW w:w="7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Purchases of property and equipment</w:t>
            </w:r>
          </w:p>
        </w:tc>
        <w:tc>
          <w:tcPr>
            <w:tcW w:w="10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(621)</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(960)</w:t>
            </w:r>
          </w:p>
        </w:tc>
      </w:tr>
      <w:tr>
        <w:trPr>
          <w:trHeight w:val="134"/>
        </w:trPr>
        <w:tc>
          <w:tcPr>
            <w:tcW w:w="78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Net cash provided by (used in) investing activities</w:t>
            </w:r>
          </w:p>
        </w:tc>
        <w:tc>
          <w:tcPr>
            <w:tcW w:w="10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7,483</w:t>
            </w:r>
          </w:p>
        </w:tc>
        <w:tc>
          <w:tcPr>
            <w:tcW w:w="140" w:type="dxa"/>
            <w:vAlign w:val="bottom"/>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(191,168)</w:t>
            </w:r>
          </w:p>
        </w:tc>
      </w:tr>
      <w:tr>
        <w:trPr>
          <w:trHeight w:val="124"/>
        </w:trPr>
        <w:tc>
          <w:tcPr>
            <w:tcW w:w="7840" w:type="dxa"/>
            <w:vAlign w:val="bottom"/>
          </w:tcPr>
          <w:p>
            <w:pPr>
              <w:spacing w:after="0" w:line="124" w:lineRule="exact"/>
              <w:rPr>
                <w:sz w:val="20"/>
                <w:szCs w:val="20"/>
                <w:color w:val="auto"/>
              </w:rPr>
            </w:pPr>
            <w:r>
              <w:rPr>
                <w:rFonts w:ascii="Arial" w:cs="Arial" w:eastAsia="Arial" w:hAnsi="Arial"/>
                <w:sz w:val="11"/>
                <w:szCs w:val="11"/>
                <w:b w:val="1"/>
                <w:bCs w:val="1"/>
                <w:color w:val="auto"/>
              </w:rPr>
              <w:t>Cash flows from financing activities:</w:t>
            </w: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4"/>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issuance of revolving credit facility</w:t>
            </w:r>
          </w:p>
        </w:tc>
        <w:tc>
          <w:tcPr>
            <w:tcW w:w="10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125,000</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Payment of revolving credit facility</w:t>
            </w:r>
          </w:p>
        </w:tc>
        <w:tc>
          <w:tcPr>
            <w:tcW w:w="10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(110,000)</w:t>
            </w:r>
          </w:p>
        </w:tc>
      </w:tr>
      <w:tr>
        <w:trPr>
          <w:trHeight w:val="163"/>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Payment of debt issuance costs</w:t>
            </w:r>
          </w:p>
        </w:tc>
        <w:tc>
          <w:tcPr>
            <w:tcW w:w="10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Contingent consideration paid for acquisitions</w:t>
            </w:r>
          </w:p>
        </w:tc>
        <w:tc>
          <w:tcPr>
            <w:tcW w:w="10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(4,139)</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Payments of tax withholdings for net settled equity awards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(7,485)</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(3,257)</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Common stock repurchased including related costs</w:t>
            </w:r>
          </w:p>
        </w:tc>
        <w:tc>
          <w:tcPr>
            <w:tcW w:w="10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(30,523)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(64,319)</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Non-voting common stock repurchased and retired</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(29,036)</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7840" w:type="dxa"/>
            <w:vAlign w:val="bottom"/>
          </w:tcPr>
          <w:p>
            <w:pPr>
              <w:spacing w:after="0"/>
              <w:rPr>
                <w:sz w:val="20"/>
                <w:szCs w:val="20"/>
                <w:color w:val="auto"/>
              </w:rPr>
            </w:pPr>
            <w:r>
              <w:rPr>
                <w:rFonts w:ascii="Arial" w:cs="Arial" w:eastAsia="Arial" w:hAnsi="Arial"/>
                <w:sz w:val="11"/>
                <w:szCs w:val="11"/>
                <w:color w:val="auto"/>
              </w:rPr>
              <w:t>Proceeds from the issuance of stock under Employee Stock Purchase Plan</w:t>
            </w:r>
          </w:p>
        </w:tc>
        <w:tc>
          <w:tcPr>
            <w:tcW w:w="10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1,592</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2,527</w:t>
            </w:r>
          </w:p>
        </w:tc>
      </w:tr>
      <w:tr>
        <w:trPr>
          <w:trHeight w:val="145"/>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exercise of stock options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2,908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2,064</w:t>
            </w:r>
          </w:p>
        </w:tc>
      </w:tr>
      <w:tr>
        <w:trPr>
          <w:trHeight w:val="157"/>
        </w:trPr>
        <w:tc>
          <w:tcPr>
            <w:tcW w:w="7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Deferred acquisition payment</w:t>
            </w: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r>
      <w:tr>
        <w:trPr>
          <w:trHeight w:val="138"/>
        </w:trPr>
        <w:tc>
          <w:tcPr>
            <w:tcW w:w="784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financing activities</w:t>
            </w:r>
          </w:p>
        </w:tc>
        <w:tc>
          <w:tcPr>
            <w:tcW w:w="10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(63,544)</w:t>
            </w:r>
          </w:p>
        </w:tc>
        <w:tc>
          <w:tcPr>
            <w:tcW w:w="14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(53,882)</w:t>
            </w:r>
          </w:p>
        </w:tc>
      </w:tr>
      <w:tr>
        <w:trPr>
          <w:trHeight w:val="132"/>
        </w:trPr>
        <w:tc>
          <w:tcPr>
            <w:tcW w:w="784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Effect of exchange rates changes on cash and cash equivalents</w:t>
            </w:r>
          </w:p>
        </w:tc>
        <w:tc>
          <w:tcPr>
            <w:tcW w:w="10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2,514</w:t>
            </w:r>
          </w:p>
        </w:tc>
        <w:tc>
          <w:tcPr>
            <w:tcW w:w="14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9,433</w:t>
            </w:r>
          </w:p>
        </w:tc>
      </w:tr>
      <w:tr>
        <w:trPr>
          <w:trHeight w:val="134"/>
        </w:trPr>
        <w:tc>
          <w:tcPr>
            <w:tcW w:w="78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Net change in cash and cash equivalents</w:t>
            </w:r>
          </w:p>
        </w:tc>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76,870</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(140,328)</w:t>
            </w:r>
          </w:p>
        </w:tc>
      </w:tr>
      <w:tr>
        <w:trPr>
          <w:trHeight w:val="143"/>
        </w:trPr>
        <w:tc>
          <w:tcPr>
            <w:tcW w:w="7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beginning of period</w:t>
            </w:r>
          </w:p>
        </w:tc>
        <w:tc>
          <w:tcPr>
            <w:tcW w:w="10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330,303</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495,242</w:t>
            </w:r>
          </w:p>
        </w:tc>
      </w:tr>
      <w:tr>
        <w:trPr>
          <w:trHeight w:val="15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1080" w:type="dxa"/>
            <w:vAlign w:val="bottom"/>
            <w:tcBorders>
              <w:bottom w:val="single" w:sz="8" w:color="auto"/>
            </w:tcBorders>
            <w:shd w:val="clear" w:color="auto" w:fill="CCEEFF"/>
          </w:tcPr>
          <w:p>
            <w:pPr>
              <w:jc w:val="right"/>
              <w:ind w:right="94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407,173</w:t>
            </w: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354,914</w:t>
            </w:r>
          </w:p>
        </w:tc>
      </w:tr>
    </w:tbl>
    <w:p>
      <w:pPr>
        <w:sectPr>
          <w:pgSz w:w="11900" w:h="16838" w:orient="portrait"/>
          <w:cols w:equalWidth="0" w:num="1">
            <w:col w:w="11300"/>
          </w:cols>
          <w:pgMar w:left="300" w:top="775"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t>Reconciliation of Non-GAAP Financial Measures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(Amounts in millions, except percentages)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All dollar amounts in the tables below are rounded and as a result, certain amounts may not recalculate using the rounded amounts provided.</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Less Ancillary Services, Adjusted Gross Profit and Adjusted Gross Margin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60" w:type="dxa"/>
            <w:vAlign w:val="bottom"/>
            <w:gridSpan w:val="5"/>
          </w:tcPr>
          <w:p>
            <w:pPr>
              <w:ind w:left="440"/>
              <w:spacing w:after="0"/>
              <w:rPr>
                <w:sz w:val="20"/>
                <w:szCs w:val="20"/>
                <w:color w:val="auto"/>
              </w:rPr>
            </w:pPr>
            <w:r>
              <w:rPr>
                <w:rFonts w:ascii="Arial" w:cs="Arial" w:eastAsia="Arial" w:hAnsi="Arial"/>
                <w:sz w:val="11"/>
                <w:szCs w:val="11"/>
                <w:b w:val="1"/>
                <w:bCs w:val="1"/>
                <w:color w:val="auto"/>
              </w:rPr>
              <w:t>Three Months Ended September 30,</w:t>
            </w:r>
          </w:p>
        </w:tc>
        <w:tc>
          <w:tcPr>
            <w:tcW w:w="400" w:type="dxa"/>
            <w:vAlign w:val="bottom"/>
          </w:tcPr>
          <w:p>
            <w:pPr>
              <w:spacing w:after="0"/>
              <w:rPr>
                <w:sz w:val="13"/>
                <w:szCs w:val="13"/>
                <w:color w:val="auto"/>
              </w:rPr>
            </w:pPr>
          </w:p>
        </w:tc>
        <w:tc>
          <w:tcPr>
            <w:tcW w:w="3140" w:type="dxa"/>
            <w:vAlign w:val="bottom"/>
            <w:gridSpan w:val="4"/>
          </w:tcPr>
          <w:p>
            <w:pPr>
              <w:jc w:val="right"/>
              <w:ind w:right="826"/>
              <w:spacing w:after="0"/>
              <w:rPr>
                <w:sz w:val="20"/>
                <w:szCs w:val="20"/>
                <w:color w:val="auto"/>
              </w:rPr>
            </w:pPr>
            <w:r>
              <w:rPr>
                <w:rFonts w:ascii="Arial" w:cs="Arial" w:eastAsia="Arial" w:hAnsi="Arial"/>
                <w:sz w:val="11"/>
                <w:szCs w:val="11"/>
                <w:b w:val="1"/>
                <w:bCs w:val="1"/>
                <w:color w:val="auto"/>
              </w:rPr>
              <w:t>Nine Months Ended September 30,</w:t>
            </w:r>
          </w:p>
        </w:tc>
      </w:tr>
      <w:tr>
        <w:trPr>
          <w:trHeight w:val="155"/>
        </w:trPr>
        <w:tc>
          <w:tcPr>
            <w:tcW w:w="3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millions)</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2026</w:t>
            </w:r>
          </w:p>
        </w:tc>
        <w:tc>
          <w:tcPr>
            <w:tcW w:w="1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2025</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2026</w:t>
            </w:r>
          </w:p>
        </w:tc>
        <w:tc>
          <w:tcPr>
            <w:tcW w:w="1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2025</w:t>
            </w:r>
          </w:p>
        </w:tc>
      </w:tr>
      <w:tr>
        <w:trPr>
          <w:trHeight w:val="138"/>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250.3</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200.1</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606.2</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465.5</w:t>
            </w: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Adjusted to exclude gross up for:</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4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Pass-through cost for printing and mailing</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r>
      <w:tr>
        <w:trPr>
          <w:trHeight w:val="151"/>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Marketing fees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(1.4)</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w:t>
            </w:r>
          </w:p>
        </w:tc>
      </w:tr>
      <w:tr>
        <w:trPr>
          <w:trHeight w:val="180"/>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 Less Ancillary Services</w:t>
            </w: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244.5</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194.1</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592.3</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450.3</w:t>
            </w:r>
          </w:p>
        </w:tc>
      </w:tr>
      <w:tr>
        <w:trPr>
          <w:trHeight w:val="140"/>
        </w:trPr>
        <w:tc>
          <w:tcPr>
            <w:tcW w:w="4100" w:type="dxa"/>
            <w:vAlign w:val="bottom"/>
            <w:gridSpan w:val="2"/>
          </w:tcPr>
          <w:p>
            <w:pPr>
              <w:spacing w:after="0"/>
              <w:rPr>
                <w:sz w:val="20"/>
                <w:szCs w:val="20"/>
                <w:color w:val="auto"/>
              </w:rPr>
            </w:pPr>
            <w:r>
              <w:rPr>
                <w:rFonts w:ascii="Arial" w:cs="Arial" w:eastAsia="Arial" w:hAnsi="Arial"/>
                <w:sz w:val="11"/>
                <w:szCs w:val="11"/>
                <w:color w:val="auto"/>
              </w:rPr>
              <w:t>Payment processing services costs</w:t>
            </w: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94.0</w:t>
            </w: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72.3</w:t>
            </w: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246.2</w:t>
            </w: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176.8</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Hosting and amortization costs within technology and development expenses</w:t>
            </w: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3.6</w:t>
            </w: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w:t>
            </w: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10.9</w:t>
            </w: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8.3</w:t>
            </w:r>
          </w:p>
        </w:tc>
      </w:tr>
      <w:tr>
        <w:trPr>
          <w:trHeight w:val="131"/>
        </w:trPr>
        <w:tc>
          <w:tcPr>
            <w:tcW w:w="4100" w:type="dxa"/>
            <w:vAlign w:val="bottom"/>
            <w:gridSpan w:val="2"/>
          </w:tcPr>
          <w:p>
            <w:pPr>
              <w:spacing w:after="0"/>
              <w:rPr>
                <w:sz w:val="20"/>
                <w:szCs w:val="20"/>
                <w:color w:val="auto"/>
              </w:rPr>
            </w:pPr>
            <w:r>
              <w:rPr>
                <w:rFonts w:ascii="Arial" w:cs="Arial" w:eastAsia="Arial" w:hAnsi="Arial"/>
                <w:sz w:val="11"/>
                <w:szCs w:val="11"/>
                <w:color w:val="auto"/>
              </w:rPr>
              <w:t>Cost of Revenue</w:t>
            </w:r>
          </w:p>
        </w:tc>
        <w:tc>
          <w:tcPr>
            <w:tcW w:w="400" w:type="dxa"/>
            <w:vAlign w:val="bottom"/>
            <w:tcBorders>
              <w:top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97.6</w:t>
            </w:r>
          </w:p>
        </w:tc>
        <w:tc>
          <w:tcPr>
            <w:tcW w:w="140" w:type="dxa"/>
            <w:vAlign w:val="bottom"/>
          </w:tcPr>
          <w:p>
            <w:pPr>
              <w:spacing w:after="0"/>
              <w:rPr>
                <w:sz w:val="11"/>
                <w:szCs w:val="11"/>
                <w:color w:val="auto"/>
              </w:rPr>
            </w:pPr>
          </w:p>
        </w:tc>
        <w:tc>
          <w:tcPr>
            <w:tcW w:w="400" w:type="dxa"/>
            <w:vAlign w:val="bottom"/>
            <w:tcBorders>
              <w:top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75.4</w:t>
            </w:r>
          </w:p>
        </w:tc>
        <w:tc>
          <w:tcPr>
            <w:tcW w:w="140" w:type="dxa"/>
            <w:vAlign w:val="bottom"/>
          </w:tcPr>
          <w:p>
            <w:pPr>
              <w:spacing w:after="0"/>
              <w:rPr>
                <w:sz w:val="11"/>
                <w:szCs w:val="11"/>
                <w:color w:val="auto"/>
              </w:rPr>
            </w:pPr>
          </w:p>
        </w:tc>
        <w:tc>
          <w:tcPr>
            <w:tcW w:w="400" w:type="dxa"/>
            <w:vAlign w:val="bottom"/>
            <w:tcBorders>
              <w:top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257.1</w:t>
            </w:r>
          </w:p>
        </w:tc>
        <w:tc>
          <w:tcPr>
            <w:tcW w:w="140" w:type="dxa"/>
            <w:vAlign w:val="bottom"/>
          </w:tcPr>
          <w:p>
            <w:pPr>
              <w:spacing w:after="0"/>
              <w:rPr>
                <w:sz w:val="11"/>
                <w:szCs w:val="11"/>
                <w:color w:val="auto"/>
              </w:rPr>
            </w:pPr>
          </w:p>
        </w:tc>
        <w:tc>
          <w:tcPr>
            <w:tcW w:w="400" w:type="dxa"/>
            <w:vAlign w:val="bottom"/>
            <w:tcBorders>
              <w:top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185.1</w:t>
            </w:r>
          </w:p>
        </w:tc>
      </w:tr>
      <w:tr>
        <w:trPr>
          <w:trHeight w:val="36"/>
        </w:trPr>
        <w:tc>
          <w:tcPr>
            <w:tcW w:w="39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24"/>
        </w:trPr>
        <w:tc>
          <w:tcPr>
            <w:tcW w:w="410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1"/>
                <w:szCs w:val="11"/>
                <w:color w:val="auto"/>
              </w:rPr>
              <w:t>Adjusted to:</w:t>
            </w:r>
          </w:p>
        </w:tc>
        <w:tc>
          <w:tcPr>
            <w:tcW w:w="40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Exclude printing and mailing costs</w:t>
            </w:r>
          </w:p>
        </w:tc>
        <w:tc>
          <w:tcPr>
            <w:tcW w:w="400" w:type="dxa"/>
            <w:vAlign w:val="bottom"/>
          </w:tcPr>
          <w:p>
            <w:pPr>
              <w:spacing w:after="0"/>
              <w:rPr>
                <w:sz w:val="12"/>
                <w:szCs w:val="12"/>
                <w:color w:val="auto"/>
              </w:rPr>
            </w:pPr>
          </w:p>
        </w:tc>
        <w:tc>
          <w:tcPr>
            <w:tcW w:w="130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6"/>
              <w:spacing w:after="0"/>
              <w:rPr>
                <w:sz w:val="20"/>
                <w:szCs w:val="20"/>
                <w:color w:val="auto"/>
              </w:rPr>
            </w:pPr>
            <w:r>
              <w:rPr>
                <w:rFonts w:ascii="Arial" w:cs="Arial" w:eastAsia="Arial" w:hAnsi="Arial"/>
                <w:sz w:val="11"/>
                <w:szCs w:val="11"/>
                <w:color w:val="auto"/>
              </w:rPr>
              <w:t>(13.3)</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2"/>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Offset marketing fees against related costs</w:t>
            </w:r>
          </w:p>
        </w:tc>
        <w:tc>
          <w:tcPr>
            <w:tcW w:w="4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r>
      <w:tr>
        <w:trPr>
          <w:trHeight w:val="152"/>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Exclude depreciation and amortization</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(2.8)</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(10.0)</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(7.5)</w:t>
            </w:r>
          </w:p>
        </w:tc>
      </w:tr>
      <w:tr>
        <w:trPr>
          <w:trHeight w:val="141"/>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Adjusted Cost of Revenue</w:t>
            </w: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88.7</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66.6</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233.2</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162.4</w:t>
            </w: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Gross Profit</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152.7</w:t>
            </w:r>
          </w:p>
        </w:tc>
        <w:tc>
          <w:tcPr>
            <w:tcW w:w="140" w:type="dxa"/>
            <w:vAlign w:val="bottom"/>
          </w:tcPr>
          <w:p>
            <w:pPr>
              <w:spacing w:after="0"/>
              <w:rPr>
                <w:sz w:val="12"/>
                <w:szCs w:val="12"/>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86"/>
              <w:spacing w:after="0"/>
              <w:rPr>
                <w:sz w:val="20"/>
                <w:szCs w:val="20"/>
                <w:color w:val="auto"/>
              </w:rPr>
            </w:pPr>
            <w:r>
              <w:rPr>
                <w:rFonts w:ascii="Arial" w:cs="Arial" w:eastAsia="Arial" w:hAnsi="Arial"/>
                <w:sz w:val="11"/>
                <w:szCs w:val="11"/>
                <w:color w:val="auto"/>
              </w:rPr>
              <w:t>124.7</w:t>
            </w:r>
          </w:p>
        </w:tc>
        <w:tc>
          <w:tcPr>
            <w:tcW w:w="140" w:type="dxa"/>
            <w:vAlign w:val="bottom"/>
          </w:tcPr>
          <w:p>
            <w:pPr>
              <w:spacing w:after="0"/>
              <w:rPr>
                <w:sz w:val="12"/>
                <w:szCs w:val="12"/>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349.1</w:t>
            </w:r>
          </w:p>
        </w:tc>
        <w:tc>
          <w:tcPr>
            <w:tcW w:w="140" w:type="dxa"/>
            <w:vAlign w:val="bottom"/>
          </w:tcPr>
          <w:p>
            <w:pPr>
              <w:spacing w:after="0"/>
              <w:rPr>
                <w:sz w:val="12"/>
                <w:szCs w:val="12"/>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280.4</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0"/>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Gross Margin</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61.0%</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57.6%</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60.2%</w:t>
            </w:r>
          </w:p>
        </w:tc>
      </w:tr>
      <w:tr>
        <w:trPr>
          <w:trHeight w:val="140"/>
        </w:trPr>
        <w:tc>
          <w:tcPr>
            <w:tcW w:w="4100" w:type="dxa"/>
            <w:vAlign w:val="bottom"/>
            <w:gridSpan w:val="2"/>
          </w:tcPr>
          <w:p>
            <w:pPr>
              <w:spacing w:after="0"/>
              <w:rPr>
                <w:sz w:val="20"/>
                <w:szCs w:val="20"/>
                <w:color w:val="auto"/>
              </w:rPr>
            </w:pPr>
            <w:r>
              <w:rPr>
                <w:rFonts w:ascii="Arial" w:cs="Arial" w:eastAsia="Arial" w:hAnsi="Arial"/>
                <w:sz w:val="11"/>
                <w:szCs w:val="11"/>
                <w:color w:val="auto"/>
              </w:rPr>
              <w:t>Adjusted Gross Profit</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155.8</w:t>
            </w:r>
          </w:p>
        </w:tc>
        <w:tc>
          <w:tcPr>
            <w:tcW w:w="140" w:type="dxa"/>
            <w:vAlign w:val="bottom"/>
          </w:tcPr>
          <w:p>
            <w:pPr>
              <w:spacing w:after="0"/>
              <w:rPr>
                <w:sz w:val="12"/>
                <w:szCs w:val="12"/>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86"/>
              <w:spacing w:after="0"/>
              <w:rPr>
                <w:sz w:val="20"/>
                <w:szCs w:val="20"/>
                <w:color w:val="auto"/>
              </w:rPr>
            </w:pPr>
            <w:r>
              <w:rPr>
                <w:rFonts w:ascii="Arial" w:cs="Arial" w:eastAsia="Arial" w:hAnsi="Arial"/>
                <w:sz w:val="11"/>
                <w:szCs w:val="11"/>
                <w:color w:val="auto"/>
              </w:rPr>
              <w:t>127.5</w:t>
            </w:r>
          </w:p>
        </w:tc>
        <w:tc>
          <w:tcPr>
            <w:tcW w:w="140" w:type="dxa"/>
            <w:vAlign w:val="bottom"/>
          </w:tcPr>
          <w:p>
            <w:pPr>
              <w:spacing w:after="0"/>
              <w:rPr>
                <w:sz w:val="12"/>
                <w:szCs w:val="12"/>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359.1</w:t>
            </w:r>
          </w:p>
        </w:tc>
        <w:tc>
          <w:tcPr>
            <w:tcW w:w="140" w:type="dxa"/>
            <w:vAlign w:val="bottom"/>
          </w:tcPr>
          <w:p>
            <w:pPr>
              <w:spacing w:after="0"/>
              <w:rPr>
                <w:sz w:val="12"/>
                <w:szCs w:val="12"/>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287.9</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8"/>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Adjusted Gross Margin</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60.6%</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63.9%</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Less Ancillary Services Disaggregated by Revenue Type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jc w:val="center"/>
              <w:ind w:left="666"/>
              <w:spacing w:after="0"/>
              <w:rPr>
                <w:sz w:val="20"/>
                <w:szCs w:val="20"/>
                <w:color w:val="auto"/>
              </w:rPr>
            </w:pPr>
            <w:r>
              <w:rPr>
                <w:rFonts w:ascii="Arial" w:cs="Arial" w:eastAsia="Arial" w:hAnsi="Arial"/>
                <w:sz w:val="11"/>
                <w:szCs w:val="11"/>
                <w:b w:val="1"/>
                <w:bCs w:val="1"/>
                <w:color w:val="auto"/>
                <w:w w:val="98"/>
              </w:rPr>
              <w:t>Three Months Ended September 30, 2026</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6"/>
          </w:tcPr>
          <w:p>
            <w:pPr>
              <w:jc w:val="center"/>
              <w:ind w:left="646"/>
              <w:spacing w:after="0"/>
              <w:rPr>
                <w:sz w:val="20"/>
                <w:szCs w:val="20"/>
                <w:color w:val="auto"/>
              </w:rPr>
            </w:pPr>
            <w:r>
              <w:rPr>
                <w:rFonts w:ascii="Arial" w:cs="Arial" w:eastAsia="Arial" w:hAnsi="Arial"/>
                <w:sz w:val="11"/>
                <w:szCs w:val="11"/>
                <w:b w:val="1"/>
                <w:bCs w:val="1"/>
                <w:color w:val="auto"/>
                <w:w w:val="98"/>
              </w:rPr>
              <w:t>Three Months Ended September 30, 2025</w:t>
            </w:r>
          </w:p>
        </w:tc>
        <w:tc>
          <w:tcPr>
            <w:tcW w:w="900" w:type="dxa"/>
            <w:vAlign w:val="bottom"/>
            <w:tcBorders>
              <w:bottom w:val="single" w:sz="8" w:color="auto"/>
            </w:tcBorders>
          </w:tcPr>
          <w:p>
            <w:pPr>
              <w:spacing w:after="0"/>
              <w:rPr>
                <w:sz w:val="13"/>
                <w:szCs w:val="13"/>
                <w:color w:val="auto"/>
              </w:rPr>
            </w:pPr>
          </w:p>
        </w:tc>
      </w:tr>
      <w:tr>
        <w:trPr>
          <w:trHeight w:val="113"/>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60"/>
              <w:spacing w:after="0" w:line="113" w:lineRule="exact"/>
              <w:rPr>
                <w:sz w:val="20"/>
                <w:szCs w:val="20"/>
                <w:color w:val="auto"/>
              </w:rPr>
            </w:pPr>
            <w:r>
              <w:rPr>
                <w:rFonts w:ascii="Arial" w:cs="Arial" w:eastAsia="Arial" w:hAnsi="Arial"/>
                <w:sz w:val="11"/>
                <w:szCs w:val="11"/>
                <w:b w:val="1"/>
                <w:bCs w:val="1"/>
                <w:color w:val="auto"/>
                <w:w w:val="98"/>
              </w:rPr>
              <w:t>Platform</w:t>
            </w: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center"/>
              <w:ind w:right="360"/>
              <w:spacing w:after="0" w:line="113" w:lineRule="exact"/>
              <w:rPr>
                <w:sz w:val="20"/>
                <w:szCs w:val="20"/>
                <w:color w:val="auto"/>
              </w:rPr>
            </w:pPr>
            <w:r>
              <w:rPr>
                <w:rFonts w:ascii="Arial" w:cs="Arial" w:eastAsia="Arial" w:hAnsi="Arial"/>
                <w:sz w:val="11"/>
                <w:szCs w:val="11"/>
                <w:b w:val="1"/>
                <w:bCs w:val="1"/>
                <w:color w:val="auto"/>
                <w:w w:val="94"/>
              </w:rPr>
              <w:t>Platform</w:t>
            </w: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6"/>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and other</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9"/>
              </w:rPr>
              <w:t>and other</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5"/>
        </w:trPr>
        <w:tc>
          <w:tcPr>
            <w:tcW w:w="29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millions)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Transaction</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9"/>
              </w:rPr>
              <w:t>revenues</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Revenue</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Transaction</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revenues</w:t>
            </w: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Revenue</w:t>
            </w:r>
          </w:p>
        </w:tc>
      </w:tr>
      <w:tr>
        <w:trPr>
          <w:trHeight w:val="158"/>
        </w:trPr>
        <w:tc>
          <w:tcPr>
            <w:tcW w:w="3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215.1</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35.2</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250.3</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167.2</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33.0</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200.1</w:t>
            </w:r>
          </w:p>
        </w:tc>
      </w:tr>
      <w:tr>
        <w:trPr>
          <w:trHeight w:val="142"/>
        </w:trPr>
        <w:tc>
          <w:tcPr>
            <w:tcW w:w="3100" w:type="dxa"/>
            <w:vAlign w:val="bottom"/>
            <w:gridSpan w:val="2"/>
          </w:tcPr>
          <w:p>
            <w:pPr>
              <w:spacing w:after="0"/>
              <w:rPr>
                <w:sz w:val="20"/>
                <w:szCs w:val="20"/>
                <w:color w:val="auto"/>
              </w:rPr>
            </w:pPr>
            <w:r>
              <w:rPr>
                <w:rFonts w:ascii="Arial" w:cs="Arial" w:eastAsia="Arial" w:hAnsi="Arial"/>
                <w:sz w:val="11"/>
                <w:szCs w:val="11"/>
                <w:color w:val="auto"/>
              </w:rPr>
              <w:t>Adjusted to exclude gross up for:</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2"/>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Pass-through cost for printing and mailing</w:t>
            </w: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1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r>
      <w:tr>
        <w:trPr>
          <w:trHeight w:val="151"/>
        </w:trPr>
        <w:tc>
          <w:tcPr>
            <w:tcW w:w="3100" w:type="dxa"/>
            <w:vAlign w:val="bottom"/>
            <w:gridSpan w:val="2"/>
          </w:tcPr>
          <w:p>
            <w:pPr>
              <w:spacing w:after="0"/>
              <w:rPr>
                <w:sz w:val="20"/>
                <w:szCs w:val="20"/>
                <w:color w:val="auto"/>
              </w:rPr>
            </w:pPr>
            <w:r>
              <w:rPr>
                <w:rFonts w:ascii="Arial" w:cs="Arial" w:eastAsia="Arial" w:hAnsi="Arial"/>
                <w:sz w:val="11"/>
                <w:szCs w:val="11"/>
                <w:color w:val="auto"/>
              </w:rPr>
              <w:t>Marketing fees</w:t>
            </w:r>
          </w:p>
        </w:tc>
        <w:tc>
          <w:tcPr>
            <w:tcW w:w="20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(1.4)</w:t>
            </w:r>
          </w:p>
        </w:tc>
      </w:tr>
      <w:tr>
        <w:trPr>
          <w:trHeight w:val="180"/>
        </w:trPr>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 Less Ancillary Services</w:t>
            </w: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213.2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244.5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165.7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28.4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194.1</w:t>
            </w:r>
          </w:p>
        </w:tc>
      </w:tr>
      <w:tr>
        <w:trPr>
          <w:trHeight w:val="140"/>
        </w:trPr>
        <w:tc>
          <w:tcPr>
            <w:tcW w:w="3100" w:type="dxa"/>
            <w:vAlign w:val="bottom"/>
            <w:gridSpan w:val="2"/>
          </w:tcPr>
          <w:p>
            <w:pPr>
              <w:spacing w:after="0"/>
              <w:rPr>
                <w:sz w:val="20"/>
                <w:szCs w:val="20"/>
                <w:color w:val="auto"/>
              </w:rPr>
            </w:pPr>
            <w:r>
              <w:rPr>
                <w:rFonts w:ascii="Arial" w:cs="Arial" w:eastAsia="Arial" w:hAnsi="Arial"/>
                <w:sz w:val="11"/>
                <w:szCs w:val="11"/>
                <w:color w:val="auto"/>
              </w:rPr>
              <w:t>Percentage of Revenue</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85.9%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83.5%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16.5%</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2"/>
        </w:trPr>
        <w:tc>
          <w:tcPr>
            <w:tcW w:w="3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Percentage of Revenue Less Ancillary Services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-753745</wp:posOffset>
            </wp:positionV>
            <wp:extent cx="857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jc w:val="center"/>
              <w:ind w:left="666"/>
              <w:spacing w:after="0"/>
              <w:rPr>
                <w:sz w:val="20"/>
                <w:szCs w:val="20"/>
                <w:color w:val="auto"/>
              </w:rPr>
            </w:pPr>
            <w:r>
              <w:rPr>
                <w:rFonts w:ascii="Arial" w:cs="Arial" w:eastAsia="Arial" w:hAnsi="Arial"/>
                <w:sz w:val="11"/>
                <w:szCs w:val="11"/>
                <w:b w:val="1"/>
                <w:bCs w:val="1"/>
                <w:color w:val="auto"/>
                <w:w w:val="97"/>
              </w:rPr>
              <w:t>Nine Months Ended September 30, 2026</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jc w:val="center"/>
              <w:ind w:left="666"/>
              <w:spacing w:after="0"/>
              <w:rPr>
                <w:sz w:val="20"/>
                <w:szCs w:val="20"/>
                <w:color w:val="auto"/>
              </w:rPr>
            </w:pPr>
            <w:r>
              <w:rPr>
                <w:rFonts w:ascii="Arial" w:cs="Arial" w:eastAsia="Arial" w:hAnsi="Arial"/>
                <w:sz w:val="11"/>
                <w:szCs w:val="11"/>
                <w:b w:val="1"/>
                <w:bCs w:val="1"/>
                <w:color w:val="auto"/>
                <w:w w:val="97"/>
              </w:rPr>
              <w:t>Nine Months Ended September 30, 2025</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980" w:type="dxa"/>
            <w:vAlign w:val="bottom"/>
            <w:vMerge w:val="restart"/>
          </w:tcPr>
          <w:p>
            <w:pPr>
              <w:spacing w:after="0"/>
              <w:rPr>
                <w:sz w:val="20"/>
                <w:szCs w:val="20"/>
                <w:color w:val="auto"/>
              </w:rPr>
            </w:pPr>
            <w:r>
              <w:rPr>
                <w:rFonts w:ascii="Arial" w:cs="Arial" w:eastAsia="Arial" w:hAnsi="Arial"/>
                <w:sz w:val="11"/>
                <w:szCs w:val="11"/>
                <w:b w:val="1"/>
                <w:bCs w:val="1"/>
                <w:color w:val="auto"/>
              </w:rPr>
              <w:t>(dollars in millions)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Transaction</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Platform and other</w:t>
            </w:r>
          </w:p>
        </w:tc>
        <w:tc>
          <w:tcPr>
            <w:tcW w:w="340" w:type="dxa"/>
            <w:vAlign w:val="bottom"/>
          </w:tcPr>
          <w:p>
            <w:pPr>
              <w:spacing w:after="0"/>
              <w:rPr>
                <w:sz w:val="10"/>
                <w:szCs w:val="10"/>
                <w:color w:val="auto"/>
              </w:rPr>
            </w:pPr>
          </w:p>
        </w:tc>
        <w:tc>
          <w:tcPr>
            <w:tcW w:w="90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Revenue</w:t>
            </w:r>
          </w:p>
        </w:tc>
        <w:tc>
          <w:tcPr>
            <w:tcW w:w="1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Transaction</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Platform and other</w:t>
            </w:r>
          </w:p>
        </w:tc>
        <w:tc>
          <w:tcPr>
            <w:tcW w:w="320" w:type="dxa"/>
            <w:vAlign w:val="bottom"/>
          </w:tcPr>
          <w:p>
            <w:pPr>
              <w:spacing w:after="0"/>
              <w:rPr>
                <w:sz w:val="10"/>
                <w:szCs w:val="10"/>
                <w:color w:val="auto"/>
              </w:rPr>
            </w:pPr>
          </w:p>
        </w:tc>
        <w:tc>
          <w:tcPr>
            <w:tcW w:w="92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Revenue</w:t>
            </w:r>
          </w:p>
        </w:tc>
        <w:tc>
          <w:tcPr>
            <w:tcW w:w="0" w:type="dxa"/>
            <w:vAlign w:val="bottom"/>
          </w:tcPr>
          <w:p>
            <w:pPr>
              <w:spacing w:after="0"/>
              <w:rPr>
                <w:sz w:val="1"/>
                <w:szCs w:val="1"/>
                <w:color w:val="auto"/>
              </w:rPr>
            </w:pPr>
          </w:p>
        </w:tc>
      </w:tr>
      <w:tr>
        <w:trPr>
          <w:trHeight w:val="150"/>
        </w:trPr>
        <w:tc>
          <w:tcPr>
            <w:tcW w:w="2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9"/>
              </w:rPr>
              <w:t>revenues</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revenues</w:t>
            </w: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506.2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99.9</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606.2</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376.2</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89.2</w:t>
            </w:r>
          </w:p>
        </w:tc>
        <w:tc>
          <w:tcPr>
            <w:tcW w:w="1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465.5</w:t>
            </w:r>
          </w:p>
        </w:tc>
        <w:tc>
          <w:tcPr>
            <w:tcW w:w="0" w:type="dxa"/>
            <w:vAlign w:val="bottom"/>
          </w:tcPr>
          <w:p>
            <w:pPr>
              <w:spacing w:after="0"/>
              <w:rPr>
                <w:sz w:val="1"/>
                <w:szCs w:val="1"/>
                <w:color w:val="auto"/>
              </w:rPr>
            </w:pPr>
          </w:p>
        </w:tc>
      </w:tr>
      <w:tr>
        <w:trPr>
          <w:trHeight w:val="152"/>
        </w:trPr>
        <w:tc>
          <w:tcPr>
            <w:tcW w:w="3100" w:type="dxa"/>
            <w:vAlign w:val="bottom"/>
            <w:gridSpan w:val="2"/>
          </w:tcPr>
          <w:p>
            <w:pPr>
              <w:spacing w:after="0"/>
              <w:rPr>
                <w:sz w:val="20"/>
                <w:szCs w:val="20"/>
                <w:color w:val="auto"/>
              </w:rPr>
            </w:pPr>
            <w:r>
              <w:rPr>
                <w:rFonts w:ascii="Arial" w:cs="Arial" w:eastAsia="Arial" w:hAnsi="Arial"/>
                <w:sz w:val="11"/>
                <w:szCs w:val="11"/>
                <w:color w:val="auto"/>
              </w:rPr>
              <w:t>Adjusted to exclude gross up for:</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Pass-through cost for printing and mailing</w:t>
            </w: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(13.3)</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51"/>
        </w:trPr>
        <w:tc>
          <w:tcPr>
            <w:tcW w:w="3100" w:type="dxa"/>
            <w:vAlign w:val="bottom"/>
            <w:gridSpan w:val="2"/>
          </w:tcPr>
          <w:p>
            <w:pPr>
              <w:spacing w:after="0"/>
              <w:rPr>
                <w:sz w:val="20"/>
                <w:szCs w:val="20"/>
                <w:color w:val="auto"/>
              </w:rPr>
            </w:pPr>
            <w:r>
              <w:rPr>
                <w:rFonts w:ascii="Arial" w:cs="Arial" w:eastAsia="Arial" w:hAnsi="Arial"/>
                <w:sz w:val="11"/>
                <w:szCs w:val="11"/>
                <w:color w:val="auto"/>
              </w:rPr>
              <w:t>Marketing fees</w:t>
            </w:r>
          </w:p>
        </w:tc>
        <w:tc>
          <w:tcPr>
            <w:tcW w:w="20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80"/>
        </w:trPr>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 Less Ancillary Services</w:t>
            </w: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504.2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88.1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592.3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374.3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76.0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450.3</w:t>
            </w:r>
          </w:p>
        </w:tc>
        <w:tc>
          <w:tcPr>
            <w:tcW w:w="0" w:type="dxa"/>
            <w:vAlign w:val="bottom"/>
          </w:tcPr>
          <w:p>
            <w:pPr>
              <w:spacing w:after="0"/>
              <w:rPr>
                <w:sz w:val="1"/>
                <w:szCs w:val="1"/>
                <w:color w:val="auto"/>
              </w:rPr>
            </w:pPr>
          </w:p>
        </w:tc>
      </w:tr>
      <w:tr>
        <w:trPr>
          <w:trHeight w:val="140"/>
        </w:trPr>
        <w:tc>
          <w:tcPr>
            <w:tcW w:w="3100" w:type="dxa"/>
            <w:vAlign w:val="bottom"/>
            <w:gridSpan w:val="2"/>
          </w:tcPr>
          <w:p>
            <w:pPr>
              <w:spacing w:after="0"/>
              <w:rPr>
                <w:sz w:val="20"/>
                <w:szCs w:val="20"/>
                <w:color w:val="auto"/>
              </w:rPr>
            </w:pPr>
            <w:r>
              <w:rPr>
                <w:rFonts w:ascii="Arial" w:cs="Arial" w:eastAsia="Arial" w:hAnsi="Arial"/>
                <w:sz w:val="11"/>
                <w:szCs w:val="11"/>
                <w:color w:val="auto"/>
              </w:rPr>
              <w:t>Percentage of Revenue</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Percentage of Revenue Less Ancillary Services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-753745</wp:posOffset>
            </wp:positionV>
            <wp:extent cx="857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FX Neutral Revenue Less Ancillary Services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left="346"/>
              <w:spacing w:after="0"/>
              <w:rPr>
                <w:sz w:val="20"/>
                <w:szCs w:val="20"/>
                <w:color w:val="auto"/>
              </w:rPr>
            </w:pPr>
            <w:r>
              <w:rPr>
                <w:rFonts w:ascii="Arial" w:cs="Arial" w:eastAsia="Arial" w:hAnsi="Arial"/>
                <w:sz w:val="11"/>
                <w:szCs w:val="11"/>
                <w:b w:val="1"/>
                <w:bCs w:val="1"/>
                <w:color w:val="auto"/>
                <w:w w:val="98"/>
              </w:rPr>
              <w:t>Growth</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Nine Months Ended 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406"/>
              <w:spacing w:after="0"/>
              <w:rPr>
                <w:sz w:val="20"/>
                <w:szCs w:val="20"/>
                <w:color w:val="auto"/>
              </w:rPr>
            </w:pPr>
            <w:r>
              <w:rPr>
                <w:rFonts w:ascii="Arial" w:cs="Arial" w:eastAsia="Arial" w:hAnsi="Arial"/>
                <w:sz w:val="11"/>
                <w:szCs w:val="11"/>
                <w:b w:val="1"/>
                <w:bCs w:val="1"/>
                <w:color w:val="auto"/>
              </w:rPr>
              <w:t>Growth</w:t>
            </w:r>
          </w:p>
        </w:tc>
      </w:tr>
      <w:tr>
        <w:trPr>
          <w:trHeight w:val="144"/>
        </w:trPr>
        <w:tc>
          <w:tcPr>
            <w:tcW w:w="3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millions)</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2026</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ind w:left="326"/>
              <w:spacing w:after="0"/>
              <w:rPr>
                <w:sz w:val="20"/>
                <w:szCs w:val="20"/>
                <w:color w:val="auto"/>
              </w:rPr>
            </w:pPr>
            <w:r>
              <w:rPr>
                <w:rFonts w:ascii="Arial" w:cs="Arial" w:eastAsia="Arial" w:hAnsi="Arial"/>
                <w:sz w:val="11"/>
                <w:szCs w:val="11"/>
                <w:b w:val="1"/>
                <w:bCs w:val="1"/>
                <w:color w:val="auto"/>
              </w:rPr>
              <w:t>Rate</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2026</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Rate</w:t>
            </w:r>
          </w:p>
        </w:tc>
      </w:tr>
      <w:tr>
        <w:trPr>
          <w:trHeight w:val="138"/>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78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250.3</w:t>
            </w: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4"/>
              </w:rPr>
              <w:t>200.1</w:t>
            </w:r>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606.2</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465.5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30.2%</w:t>
            </w:r>
          </w:p>
        </w:tc>
      </w:tr>
      <w:tr>
        <w:trPr>
          <w:trHeight w:val="152"/>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Ancillary services</w:t>
            </w: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w:t>
            </w:r>
          </w:p>
        </w:tc>
        <w:tc>
          <w:tcPr>
            <w:tcW w:w="1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1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r>
      <w:tr>
        <w:trPr>
          <w:trHeight w:val="141"/>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Revenue Less Ancillary Services</w:t>
            </w:r>
          </w:p>
        </w:tc>
        <w:tc>
          <w:tcPr>
            <w:tcW w:w="7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244.5</w:t>
            </w: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4"/>
              </w:rPr>
              <w:t>194.1</w:t>
            </w:r>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592.3</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450.3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31.5%</w:t>
            </w:r>
          </w:p>
        </w:tc>
      </w:tr>
      <w:tr>
        <w:trPr>
          <w:trHeight w:val="151"/>
        </w:trPr>
        <w:tc>
          <w:tcPr>
            <w:tcW w:w="3280" w:type="dxa"/>
            <w:vAlign w:val="bottom"/>
            <w:gridSpan w:val="2"/>
          </w:tcPr>
          <w:p>
            <w:pPr>
              <w:spacing w:after="0"/>
              <w:rPr>
                <w:sz w:val="20"/>
                <w:szCs w:val="20"/>
                <w:color w:val="auto"/>
              </w:rPr>
            </w:pPr>
            <w:r>
              <w:rPr>
                <w:rFonts w:ascii="Arial" w:cs="Arial" w:eastAsia="Arial" w:hAnsi="Arial"/>
                <w:sz w:val="11"/>
                <w:szCs w:val="11"/>
                <w:color w:val="auto"/>
              </w:rPr>
              <w:t>Effects of foreign currency rate fluctuations</w:t>
            </w: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gridSpan w:val="3"/>
          </w:tcPr>
          <w:p>
            <w:pPr>
              <w:jc w:val="right"/>
              <w:ind w:right="102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(9.3)</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3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FX Neutral Revenue Less Ancillary Services</w:t>
            </w:r>
          </w:p>
        </w:tc>
        <w:tc>
          <w:tcPr>
            <w:tcW w:w="780" w:type="dxa"/>
            <w:vAlign w:val="bottom"/>
            <w:tcBorders>
              <w:top w:val="single" w:sz="8" w:color="auto"/>
              <w:bottom w:val="single" w:sz="8" w:color="CCEEFF"/>
            </w:tcBorders>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244.6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4"/>
              </w:rPr>
              <w:t>194.1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583.0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450.3</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29.5%</w:t>
            </w:r>
          </w:p>
        </w:tc>
      </w:tr>
      <w:tr>
        <w:trPr>
          <w:trHeight w:val="20"/>
        </w:trPr>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-553720</wp:posOffset>
            </wp:positionV>
            <wp:extent cx="857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GAAP Operating Expenses to Non-GAAP Operating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1"/>
                <w:szCs w:val="11"/>
                <w:b w:val="1"/>
                <w:bCs w:val="1"/>
                <w:color w:val="auto"/>
              </w:rPr>
              <w:t>Nine Months Ended September 30,</w:t>
            </w:r>
          </w:p>
        </w:tc>
      </w:tr>
      <w:tr>
        <w:trPr>
          <w:trHeight w:val="155"/>
        </w:trPr>
        <w:tc>
          <w:tcPr>
            <w:tcW w:w="4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millions)</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2026</w:t>
            </w:r>
          </w:p>
        </w:tc>
        <w:tc>
          <w:tcPr>
            <w:tcW w:w="1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2026</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2025</w:t>
            </w:r>
          </w:p>
        </w:tc>
      </w:tr>
      <w:tr>
        <w:trPr>
          <w:trHeight w:val="158"/>
        </w:trPr>
        <w:tc>
          <w:tcPr>
            <w:tcW w:w="4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GAAP Technology and development</w:t>
            </w: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51.7</w:t>
            </w:r>
          </w:p>
        </w:tc>
      </w:tr>
      <w:tr>
        <w:trPr>
          <w:trHeight w:val="157"/>
        </w:trPr>
        <w:tc>
          <w:tcPr>
            <w:tcW w:w="4260" w:type="dxa"/>
            <w:vAlign w:val="bottom"/>
            <w:gridSpan w:val="2"/>
          </w:tcPr>
          <w:p>
            <w:pPr>
              <w:spacing w:after="0"/>
              <w:rPr>
                <w:sz w:val="20"/>
                <w:szCs w:val="20"/>
                <w:color w:val="auto"/>
              </w:rPr>
            </w:pPr>
            <w:r>
              <w:rPr>
                <w:rFonts w:ascii="Arial" w:cs="Arial" w:eastAsia="Arial" w:hAnsi="Arial"/>
                <w:sz w:val="11"/>
                <w:szCs w:val="11"/>
                <w:color w:val="auto"/>
              </w:rPr>
              <w:t>(-) Stock-based compensation expense and related taxes</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(2.3)</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(8.1)</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(9.8)</w:t>
            </w:r>
          </w:p>
        </w:tc>
      </w:tr>
      <w:tr>
        <w:trPr>
          <w:trHeight w:val="162"/>
        </w:trPr>
        <w:tc>
          <w:tcPr>
            <w:tcW w:w="4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Depreciation and amortization</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4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1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r>
      <w:tr>
        <w:trPr>
          <w:trHeight w:val="174"/>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Non-GAAP Technology and development</w:t>
            </w:r>
          </w:p>
        </w:tc>
        <w:tc>
          <w:tcPr>
            <w:tcW w:w="4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0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36.9</w:t>
            </w:r>
          </w:p>
        </w:tc>
      </w:tr>
      <w:tr>
        <w:trPr>
          <w:trHeight w:val="151"/>
        </w:trPr>
        <w:tc>
          <w:tcPr>
            <w:tcW w:w="4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6"/>
        </w:trPr>
        <w:tc>
          <w:tcPr>
            <w:tcW w:w="4260" w:type="dxa"/>
            <w:vAlign w:val="bottom"/>
            <w:gridSpan w:val="2"/>
          </w:tcPr>
          <w:p>
            <w:pPr>
              <w:spacing w:after="0"/>
              <w:rPr>
                <w:sz w:val="20"/>
                <w:szCs w:val="20"/>
                <w:color w:val="auto"/>
              </w:rPr>
            </w:pPr>
            <w:r>
              <w:rPr>
                <w:rFonts w:ascii="Arial" w:cs="Arial" w:eastAsia="Arial" w:hAnsi="Arial"/>
                <w:sz w:val="11"/>
                <w:szCs w:val="11"/>
                <w:color w:val="auto"/>
              </w:rPr>
              <w:t>GAAP Selling and marketing</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42.6</w:t>
            </w:r>
          </w:p>
        </w:tc>
        <w:tc>
          <w:tcPr>
            <w:tcW w:w="140" w:type="dxa"/>
            <w:vAlign w:val="bottom"/>
          </w:tcPr>
          <w:p>
            <w:pPr>
              <w:spacing w:after="0"/>
              <w:rPr>
                <w:sz w:val="13"/>
                <w:szCs w:val="13"/>
                <w:color w:val="auto"/>
              </w:rPr>
            </w:pPr>
          </w:p>
        </w:tc>
        <w:tc>
          <w:tcPr>
            <w:tcW w:w="1180" w:type="dxa"/>
            <w:vAlign w:val="bottom"/>
          </w:tcPr>
          <w:p>
            <w:pPr>
              <w:jc w:val="right"/>
              <w:ind w:right="10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13"/>
                <w:szCs w:val="13"/>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122.0</w:t>
            </w:r>
          </w:p>
        </w:tc>
        <w:tc>
          <w:tcPr>
            <w:tcW w:w="140" w:type="dxa"/>
            <w:vAlign w:val="bottom"/>
          </w:tcPr>
          <w:p>
            <w:pPr>
              <w:spacing w:after="0"/>
              <w:rPr>
                <w:sz w:val="13"/>
                <w:szCs w:val="13"/>
                <w:color w:val="auto"/>
              </w:rPr>
            </w:pP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116.9</w:t>
            </w:r>
          </w:p>
        </w:tc>
      </w:tr>
      <w:tr>
        <w:trPr>
          <w:trHeight w:val="168"/>
        </w:trPr>
        <w:tc>
          <w:tcPr>
            <w:tcW w:w="4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Stock-based compensation expense and related taxes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w:t>
            </w:r>
          </w:p>
        </w:tc>
      </w:tr>
      <w:tr>
        <w:trPr>
          <w:trHeight w:val="157"/>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 Depreciation and amortization</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1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w:t>
            </w:r>
          </w:p>
        </w:tc>
      </w:tr>
      <w:tr>
        <w:trPr>
          <w:trHeight w:val="172"/>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Non-GAAP Selling and marketing</w:t>
            </w: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90.3</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90.5</w:t>
            </w:r>
          </w:p>
        </w:tc>
      </w:tr>
      <w:tr>
        <w:trPr>
          <w:trHeight w:val="153"/>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4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GAAP General and administrative</w:t>
            </w: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122.7</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99.2</w:t>
            </w:r>
          </w:p>
        </w:tc>
      </w:tr>
      <w:tr>
        <w:trPr>
          <w:trHeight w:val="161"/>
        </w:trPr>
        <w:tc>
          <w:tcPr>
            <w:tcW w:w="4260" w:type="dxa"/>
            <w:vAlign w:val="bottom"/>
            <w:gridSpan w:val="2"/>
          </w:tcPr>
          <w:p>
            <w:pPr>
              <w:spacing w:after="0"/>
              <w:rPr>
                <w:sz w:val="20"/>
                <w:szCs w:val="20"/>
                <w:color w:val="auto"/>
              </w:rPr>
            </w:pPr>
            <w:r>
              <w:rPr>
                <w:rFonts w:ascii="Arial" w:cs="Arial" w:eastAsia="Arial" w:hAnsi="Arial"/>
                <w:sz w:val="11"/>
                <w:szCs w:val="11"/>
                <w:color w:val="auto"/>
              </w:rPr>
              <w:t>(-) Stock-based compensation expense and related taxes</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(9.3)</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(27.9)</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(26.7)</w:t>
            </w:r>
          </w:p>
        </w:tc>
      </w:tr>
      <w:tr>
        <w:trPr>
          <w:trHeight w:val="163"/>
        </w:trPr>
        <w:tc>
          <w:tcPr>
            <w:tcW w:w="4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Depreciation and amortization</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61"/>
        </w:trPr>
        <w:tc>
          <w:tcPr>
            <w:tcW w:w="4260" w:type="dxa"/>
            <w:vAlign w:val="bottom"/>
            <w:gridSpan w:val="2"/>
          </w:tcPr>
          <w:p>
            <w:pPr>
              <w:spacing w:after="0"/>
              <w:rPr>
                <w:sz w:val="20"/>
                <w:szCs w:val="20"/>
                <w:color w:val="auto"/>
              </w:rPr>
            </w:pPr>
            <w:r>
              <w:rPr>
                <w:rFonts w:ascii="Arial" w:cs="Arial" w:eastAsia="Arial" w:hAnsi="Arial"/>
                <w:sz w:val="11"/>
                <w:szCs w:val="11"/>
                <w:color w:val="auto"/>
              </w:rPr>
              <w:t>(-) Change in fair value of contingent consideration</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1.2</w:t>
            </w:r>
          </w:p>
        </w:tc>
      </w:tr>
      <w:tr>
        <w:trPr>
          <w:trHeight w:val="162"/>
        </w:trPr>
        <w:tc>
          <w:tcPr>
            <w:tcW w:w="4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Acquisition related transaction costs</w:t>
            </w:r>
          </w:p>
        </w:tc>
        <w:tc>
          <w:tcPr>
            <w:tcW w:w="4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r>
      <w:tr>
        <w:trPr>
          <w:trHeight w:val="141"/>
        </w:trPr>
        <w:tc>
          <w:tcPr>
            <w:tcW w:w="4260" w:type="dxa"/>
            <w:vAlign w:val="bottom"/>
            <w:gridSpan w:val="2"/>
          </w:tcPr>
          <w:p>
            <w:pPr>
              <w:spacing w:after="0"/>
              <w:rPr>
                <w:sz w:val="20"/>
                <w:szCs w:val="20"/>
                <w:color w:val="auto"/>
              </w:rPr>
            </w:pPr>
            <w:r>
              <w:rPr>
                <w:rFonts w:ascii="Arial" w:cs="Arial" w:eastAsia="Arial" w:hAnsi="Arial"/>
                <w:sz w:val="11"/>
                <w:szCs w:val="11"/>
                <w:color w:val="auto"/>
              </w:rPr>
              <w:t>Non-GAAP General and administrative</w:t>
            </w:r>
          </w:p>
        </w:tc>
        <w:tc>
          <w:tcPr>
            <w:tcW w:w="4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34.0</w:t>
            </w:r>
          </w:p>
        </w:tc>
        <w:tc>
          <w:tcPr>
            <w:tcW w:w="1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69.1</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806"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EBITDA, Adjusted EBITDA, and Adjusted EBITDA Margin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1"/>
                <w:szCs w:val="11"/>
                <w:b w:val="1"/>
                <w:bCs w:val="1"/>
                <w:color w:val="auto"/>
              </w:rPr>
              <w:t>Nine Months Ended September 30,</w:t>
            </w:r>
          </w:p>
        </w:tc>
        <w:tc>
          <w:tcPr>
            <w:tcW w:w="540" w:type="dxa"/>
            <w:vAlign w:val="bottom"/>
            <w:tcBorders>
              <w:bottom w:val="single" w:sz="8" w:color="auto"/>
            </w:tcBorders>
          </w:tcPr>
          <w:p>
            <w:pPr>
              <w:spacing w:after="0"/>
              <w:rPr>
                <w:sz w:val="13"/>
                <w:szCs w:val="13"/>
                <w:color w:val="auto"/>
              </w:rPr>
            </w:pPr>
          </w:p>
        </w:tc>
      </w:tr>
      <w:tr>
        <w:trPr>
          <w:trHeight w:val="155"/>
        </w:trPr>
        <w:tc>
          <w:tcPr>
            <w:tcW w:w="3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millions)</w:t>
            </w:r>
          </w:p>
        </w:tc>
        <w:tc>
          <w:tcPr>
            <w:tcW w:w="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r>
      <w:tr>
        <w:trPr>
          <w:trHeight w:val="138"/>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1140" w:type="dxa"/>
            <w:vAlign w:val="bottom"/>
            <w:tcBorders>
              <w:bottom w:val="single" w:sz="8" w:color="CCEEFF"/>
            </w:tcBorders>
            <w:shd w:val="clear" w:color="auto" w:fill="CCEEFF"/>
          </w:tcPr>
          <w:p>
            <w:pPr>
              <w:jc w:val="right"/>
              <w:ind w:right="10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74.5</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29.6</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10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78.9</w:t>
            </w:r>
          </w:p>
        </w:tc>
        <w:tc>
          <w:tcPr>
            <w:tcW w:w="1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13.5</w:t>
            </w: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Interest expense</w:t>
            </w:r>
          </w:p>
        </w:tc>
        <w:tc>
          <w:tcPr>
            <w:tcW w:w="114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3.0</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2"/>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Interest income</w:t>
            </w:r>
          </w:p>
        </w:tc>
        <w:tc>
          <w:tcPr>
            <w:tcW w:w="1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(0.5)</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(0.8)</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(Benefit from) provision for income taxes</w:t>
            </w:r>
          </w:p>
        </w:tc>
        <w:tc>
          <w:tcPr>
            <w:tcW w:w="11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(17.2)</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7.7</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4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amortization expense</w:t>
            </w:r>
          </w:p>
        </w:tc>
        <w:tc>
          <w:tcPr>
            <w:tcW w:w="1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8.0</w:t>
            </w:r>
          </w:p>
        </w:tc>
        <w:tc>
          <w:tcPr>
            <w:tcW w:w="14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7.2</w:t>
            </w:r>
          </w:p>
        </w:tc>
        <w:tc>
          <w:tcPr>
            <w:tcW w:w="14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24.5</w:t>
            </w:r>
          </w:p>
        </w:tc>
        <w:tc>
          <w:tcPr>
            <w:tcW w:w="14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20.2</w:t>
            </w:r>
          </w:p>
        </w:tc>
      </w:tr>
      <w:tr>
        <w:trPr>
          <w:trHeight w:val="131"/>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EBITDA</w:t>
            </w:r>
          </w:p>
        </w:tc>
        <w:tc>
          <w:tcPr>
            <w:tcW w:w="1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60.3</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38.8</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85.2</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39.5</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2"/>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Stock-based compensation expense and related taxes</w:t>
            </w:r>
          </w:p>
        </w:tc>
        <w:tc>
          <w:tcPr>
            <w:tcW w:w="1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17.5</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17.8</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53.0</w:t>
            </w:r>
          </w:p>
        </w:tc>
        <w:tc>
          <w:tcPr>
            <w:tcW w:w="1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51.0</w:t>
            </w:r>
          </w:p>
        </w:tc>
      </w:tr>
      <w:tr>
        <w:trPr>
          <w:trHeight w:val="152"/>
        </w:trPr>
        <w:tc>
          <w:tcPr>
            <w:tcW w:w="4100" w:type="dxa"/>
            <w:vAlign w:val="bottom"/>
            <w:gridSpan w:val="2"/>
          </w:tcPr>
          <w:p>
            <w:pPr>
              <w:spacing w:after="0"/>
              <w:rPr>
                <w:sz w:val="20"/>
                <w:szCs w:val="20"/>
                <w:color w:val="auto"/>
              </w:rPr>
            </w:pPr>
            <w:r>
              <w:rPr>
                <w:rFonts w:ascii="Arial" w:cs="Arial" w:eastAsia="Arial" w:hAnsi="Arial"/>
                <w:sz w:val="11"/>
                <w:szCs w:val="11"/>
                <w:color w:val="auto"/>
              </w:rPr>
              <w:t>Change in fair value of contingent consideration</w:t>
            </w:r>
          </w:p>
        </w:tc>
        <w:tc>
          <w:tcPr>
            <w:tcW w:w="114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(0.7)</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(1.2)</w:t>
            </w:r>
          </w:p>
        </w:tc>
      </w:tr>
      <w:tr>
        <w:trPr>
          <w:trHeight w:val="152"/>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Loss (gain) from remeasurement of foreign currency</w:t>
            </w:r>
          </w:p>
        </w:tc>
        <w:tc>
          <w:tcPr>
            <w:tcW w:w="1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0.5</w:t>
            </w:r>
          </w:p>
        </w:tc>
        <w:tc>
          <w:tcPr>
            <w:tcW w:w="1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0.6</w:t>
            </w:r>
          </w:p>
        </w:tc>
        <w:tc>
          <w:tcPr>
            <w:tcW w:w="1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Gain on available-for-sale debt securities</w:t>
            </w:r>
          </w:p>
        </w:tc>
        <w:tc>
          <w:tcPr>
            <w:tcW w:w="11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(0.2)</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2"/>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Indirect taxes related to intercompany activity</w:t>
            </w:r>
          </w:p>
        </w:tc>
        <w:tc>
          <w:tcPr>
            <w:tcW w:w="1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0.6</w:t>
            </w:r>
          </w:p>
        </w:tc>
        <w:tc>
          <w:tcPr>
            <w:tcW w:w="1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w:t>
            </w:r>
          </w:p>
        </w:tc>
      </w:tr>
      <w:tr>
        <w:trPr>
          <w:trHeight w:val="142"/>
        </w:trPr>
        <w:tc>
          <w:tcPr>
            <w:tcW w:w="4100" w:type="dxa"/>
            <w:vAlign w:val="bottom"/>
            <w:gridSpan w:val="2"/>
          </w:tcPr>
          <w:p>
            <w:pPr>
              <w:spacing w:after="0"/>
              <w:rPr>
                <w:sz w:val="20"/>
                <w:szCs w:val="20"/>
                <w:color w:val="auto"/>
              </w:rPr>
            </w:pPr>
            <w:r>
              <w:rPr>
                <w:rFonts w:ascii="Arial" w:cs="Arial" w:eastAsia="Arial" w:hAnsi="Arial"/>
                <w:sz w:val="11"/>
                <w:szCs w:val="11"/>
                <w:color w:val="auto"/>
              </w:rPr>
              <w:t>Acquisition-related transaction costs</w:t>
            </w:r>
          </w:p>
        </w:tc>
        <w:tc>
          <w:tcPr>
            <w:tcW w:w="11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2.6</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4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Restructuring</w:t>
            </w:r>
          </w:p>
        </w:tc>
        <w:tc>
          <w:tcPr>
            <w:tcW w:w="1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8.7</w:t>
            </w:r>
          </w:p>
        </w:tc>
      </w:tr>
      <w:tr>
        <w:trPr>
          <w:trHeight w:val="131"/>
        </w:trPr>
        <w:tc>
          <w:tcPr>
            <w:tcW w:w="4100" w:type="dxa"/>
            <w:vAlign w:val="bottom"/>
            <w:gridSpan w:val="2"/>
          </w:tcPr>
          <w:p>
            <w:pPr>
              <w:spacing w:after="0"/>
              <w:rPr>
                <w:sz w:val="20"/>
                <w:szCs w:val="20"/>
                <w:color w:val="auto"/>
              </w:rPr>
            </w:pPr>
            <w:r>
              <w:rPr>
                <w:rFonts w:ascii="Arial" w:cs="Arial" w:eastAsia="Arial" w:hAnsi="Arial"/>
                <w:sz w:val="11"/>
                <w:szCs w:val="11"/>
                <w:color w:val="auto"/>
              </w:rPr>
              <w:t>Adjusted EBITDA</w:t>
            </w:r>
          </w:p>
        </w:tc>
        <w:tc>
          <w:tcPr>
            <w:tcW w:w="1140" w:type="dxa"/>
            <w:vAlign w:val="bottom"/>
            <w:tcBorders>
              <w:top w:val="single" w:sz="8" w:color="auto"/>
            </w:tcBorders>
          </w:tcPr>
          <w:p>
            <w:pPr>
              <w:jc w:val="right"/>
              <w:ind w:right="100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79.5</w:t>
            </w:r>
          </w:p>
        </w:tc>
        <w:tc>
          <w:tcPr>
            <w:tcW w:w="140" w:type="dxa"/>
            <w:vAlign w:val="bottom"/>
          </w:tcPr>
          <w:p>
            <w:pPr>
              <w:spacing w:after="0"/>
              <w:rPr>
                <w:sz w:val="11"/>
                <w:szCs w:val="11"/>
                <w:color w:val="auto"/>
              </w:rPr>
            </w:pPr>
          </w:p>
        </w:tc>
        <w:tc>
          <w:tcPr>
            <w:tcW w:w="1140" w:type="dxa"/>
            <w:vAlign w:val="bottom"/>
            <w:tcBorders>
              <w:top w:val="single" w:sz="8" w:color="auto"/>
            </w:tcBorders>
          </w:tcPr>
          <w:p>
            <w:pPr>
              <w:jc w:val="right"/>
              <w:ind w:right="10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57.1</w:t>
            </w:r>
          </w:p>
        </w:tc>
        <w:tc>
          <w:tcPr>
            <w:tcW w:w="140" w:type="dxa"/>
            <w:vAlign w:val="bottom"/>
          </w:tcPr>
          <w:p>
            <w:pPr>
              <w:spacing w:after="0"/>
              <w:rPr>
                <w:sz w:val="11"/>
                <w:szCs w:val="11"/>
                <w:color w:val="auto"/>
              </w:rPr>
            </w:pPr>
          </w:p>
        </w:tc>
        <w:tc>
          <w:tcPr>
            <w:tcW w:w="1140" w:type="dxa"/>
            <w:vAlign w:val="bottom"/>
            <w:tcBorders>
              <w:top w:val="single" w:sz="8" w:color="auto"/>
            </w:tcBorders>
          </w:tcPr>
          <w:p>
            <w:pPr>
              <w:jc w:val="right"/>
              <w:ind w:right="100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142.8</w:t>
            </w:r>
          </w:p>
        </w:tc>
        <w:tc>
          <w:tcPr>
            <w:tcW w:w="140" w:type="dxa"/>
            <w:vAlign w:val="bottom"/>
          </w:tcPr>
          <w:p>
            <w:pPr>
              <w:spacing w:after="0"/>
              <w:rPr>
                <w:sz w:val="11"/>
                <w:szCs w:val="11"/>
                <w:color w:val="auto"/>
              </w:rPr>
            </w:pPr>
          </w:p>
        </w:tc>
        <w:tc>
          <w:tcPr>
            <w:tcW w:w="1160" w:type="dxa"/>
            <w:vAlign w:val="bottom"/>
            <w:tcBorders>
              <w:top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95.1</w:t>
            </w:r>
          </w:p>
        </w:tc>
      </w:tr>
      <w:tr>
        <w:trPr>
          <w:trHeight w:val="36"/>
        </w:trPr>
        <w:tc>
          <w:tcPr>
            <w:tcW w:w="39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42"/>
        </w:trPr>
        <w:tc>
          <w:tcPr>
            <w:tcW w:w="4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Adjusted EBITDA margin</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24.1 %</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21.1 %</w:t>
            </w:r>
          </w:p>
        </w:tc>
      </w:tr>
      <w:tr>
        <w:trPr>
          <w:trHeight w:val="20"/>
        </w:trPr>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-107950</wp:posOffset>
            </wp:positionV>
            <wp:extent cx="857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2026-11-03T15:10:47Z</dcterms:created>
  <dcterms:modified xsi:type="dcterms:W3CDTF">2026-11-03T15:10:47Z</dcterms:modified>
</cp:coreProperties>
</file>