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280322.xml.htm"/>
      <w:bookmarkStart w:id="1" w:name="kswkform4_179028032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Farmer Sabrina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FLYWIRE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 TREMONT STREET, SUITE 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Flywire Corp</w:t>
              </w:r>
            </w:hyperlink>
            <w:r>
              <w:rPr/>
              <w:t xml:space="preserve"> [ </w:t>
            </w:r>
            <w:r>
              <w:rPr>
                <w:rFonts w:ascii="Times;serif" w:hAnsi="Times;serif"/>
                <w:color w:val="0000FF"/>
                <w:sz w:val="24"/>
                <w:shd w:fill="FFFFFF" w:val="clear"/>
              </w:rPr>
              <w:t>FLYW</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20,301</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20,301</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underlying a restricted stock unit award (RSU). The RSU shall vest in 3 equal annual installments following the grant date, provided that the Reporting Person has provided continuous service to the Issuer through each applicable vesting date. In addition, the RSU will accelerate and fully vest upon a change in control, or the Reporting Person's earlier death or disability.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Sabrina Farmer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08113" TargetMode="External"/><Relationship Id="rId5" Type="http://schemas.openxmlformats.org/officeDocument/2006/relationships/hyperlink" Target="http://www.sec.gov/cgi-bin/browse-edgar?action=getcompany&amp;CIK=00015805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628</Words>
  <Characters>3412</Characters>
  <CharactersWithSpaces>3972</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