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29"/>
        <w:gridCol w:w="936"/>
        <w:gridCol w:w="806"/>
        <w:gridCol w:w="621"/>
        <w:gridCol w:w="335"/>
        <w:gridCol w:w="1004"/>
        <w:gridCol w:w="395"/>
        <w:gridCol w:w="566"/>
        <w:gridCol w:w="1339"/>
        <w:gridCol w:w="942"/>
        <w:gridCol w:w="16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r>
        <w:trPr/>
        <w:tc>
          <w:tcPr>
            <w:tcW w:w="16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366,617</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Value-Oriented Special Situations Fund, L.P.</w:t>
            </w:r>
            <w:r>
              <w:rPr>
                <w:rFonts w:ascii="Times;serif" w:hAnsi="Times;serif"/>
                <w:color w:val="008000"/>
                <w:position w:val="7"/>
                <w:sz w:val="16"/>
                <w:sz w:val="20"/>
                <w:shd w:fill="FFFFFF" w:val="clear"/>
              </w:rPr>
              <w:t>(3)</w:t>
            </w:r>
          </w:p>
        </w:tc>
      </w:tr>
      <w:tr>
        <w:trPr/>
        <w:tc>
          <w:tcPr>
            <w:tcW w:w="16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3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11,169,321</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bl>
    <w:tbl>
      <w:tblPr>
        <w:tblW w:w="120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46"/>
        <w:gridCol w:w="921"/>
        <w:gridCol w:w="801"/>
        <w:gridCol w:w="936"/>
        <w:gridCol w:w="831"/>
        <w:gridCol w:w="921"/>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12/18/2026</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Voss Value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Voss Value-Oriented Special Situations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Voss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Cocke Travis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held in certain accounts separately managed by Voss Capital (the "Voss Managed Accounts"). Voss Capital, as the investment manager of the Voss Managed Accounts, may be deemed to beneficially own the securities held in the Voss Managed Accounts. Mr. Cocke, as the managing member of Voss Capital, may be deemed to beneficially own the securities held in the Voss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call options were immediately exercisable upon their acquisition.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Capital, LP;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 Master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Value-Oriented Special Situations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W. Cocke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14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30145" TargetMode="External"/><Relationship Id="rId9" Type="http://schemas.openxmlformats.org/officeDocument/2006/relationships/hyperlink" Target="http://www.sec.gov/cgi-bin/browse-edgar?action=getcompany&amp;CIK=0001969435" TargetMode="External"/><Relationship Id="rId10" Type="http://schemas.openxmlformats.org/officeDocument/2006/relationships/hyperlink" Target="http://www.sec.gov/cgi-bin/browse-edgar?action=getcompany&amp;CIK=0001863498" TargetMode="External"/><Relationship Id="rId11" Type="http://schemas.openxmlformats.org/officeDocument/2006/relationships/hyperlink" Target="http://www.sec.gov/cgi-bin/browse-edgar?action=getcompany&amp;CIK=0001798309" TargetMode="External"/><Relationship Id="rId12" Type="http://schemas.openxmlformats.org/officeDocument/2006/relationships/hyperlink" Target="http://www.sec.gov/cgi-bin/browse-edgar?action=getcompany&amp;CIK=000179838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1248</Words>
  <Characters>6716</Characters>
  <CharactersWithSpaces>7787</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